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1E84" w14:textId="77777777" w:rsidR="002D6113" w:rsidRPr="0091228A" w:rsidRDefault="002D6113" w:rsidP="002D6113">
      <w:pPr>
        <w:jc w:val="center"/>
      </w:pPr>
    </w:p>
    <w:p w14:paraId="4AC09547" w14:textId="77777777" w:rsidR="002D6113" w:rsidRPr="0091228A" w:rsidRDefault="002D6113" w:rsidP="002D6113">
      <w:pPr>
        <w:jc w:val="center"/>
      </w:pPr>
    </w:p>
    <w:p w14:paraId="592BB123" w14:textId="77777777" w:rsidR="002D6113" w:rsidRPr="0091228A" w:rsidRDefault="002D6113" w:rsidP="002D6113">
      <w:pPr>
        <w:jc w:val="center"/>
      </w:pPr>
    </w:p>
    <w:p w14:paraId="7C377E94" w14:textId="3C331E09" w:rsidR="002D6113" w:rsidRPr="0091228A" w:rsidRDefault="00D207DC" w:rsidP="002D6113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101422B4" wp14:editId="026BB32E">
            <wp:extent cx="5760720" cy="146748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FDF0F" w14:textId="77777777" w:rsidR="002D6113" w:rsidRPr="0091228A" w:rsidRDefault="002D6113" w:rsidP="002D6113">
      <w:pPr>
        <w:rPr>
          <w:sz w:val="24"/>
          <w:szCs w:val="24"/>
        </w:rPr>
      </w:pPr>
    </w:p>
    <w:p w14:paraId="2E1D46D9" w14:textId="77777777" w:rsidR="002D6113" w:rsidRPr="0091228A" w:rsidRDefault="002D6113" w:rsidP="002D6113">
      <w:pPr>
        <w:rPr>
          <w:sz w:val="24"/>
          <w:szCs w:val="24"/>
        </w:rPr>
      </w:pPr>
    </w:p>
    <w:p w14:paraId="3433CB2C" w14:textId="77777777" w:rsidR="002D6113" w:rsidRPr="0091228A" w:rsidRDefault="002D6113" w:rsidP="002D6113">
      <w:pPr>
        <w:rPr>
          <w:sz w:val="24"/>
          <w:szCs w:val="24"/>
        </w:rPr>
      </w:pPr>
    </w:p>
    <w:p w14:paraId="420636BE" w14:textId="77777777" w:rsidR="002D6113" w:rsidRPr="0091228A" w:rsidRDefault="002D6113" w:rsidP="002D6113">
      <w:pPr>
        <w:rPr>
          <w:sz w:val="24"/>
          <w:szCs w:val="24"/>
        </w:rPr>
      </w:pPr>
    </w:p>
    <w:p w14:paraId="036EF61D" w14:textId="77777777" w:rsidR="002D6113" w:rsidRPr="0091228A" w:rsidRDefault="002D6113" w:rsidP="002D6113">
      <w:pPr>
        <w:rPr>
          <w:sz w:val="24"/>
          <w:szCs w:val="24"/>
        </w:rPr>
      </w:pPr>
    </w:p>
    <w:p w14:paraId="1CE6C7BE" w14:textId="30AFBB3D" w:rsidR="002D6113" w:rsidRPr="0091228A" w:rsidRDefault="001166C1" w:rsidP="002D6113">
      <w:pPr>
        <w:jc w:val="center"/>
        <w:rPr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EEAC0" wp14:editId="56CE76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64B8B0" w14:textId="4AE53927" w:rsidR="001166C1" w:rsidRPr="00D207DC" w:rsidRDefault="001166C1" w:rsidP="001166C1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9966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07DC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9966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razvoja Brodsko-posavske županije za razdoblje 2021. - 2027. godine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AEEAC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CVRIzFJAIAAEwEAAAOAAAAAAAAAAAAAAAAAC4CAABkcnMvZTJvRG9jLnhtbFBLAQIt&#10;ABQABgAIAAAAIQBLiSbN1gAAAAUBAAAPAAAAAAAAAAAAAAAAAH4EAABkcnMvZG93bnJldi54bWxQ&#10;SwUGAAAAAAQABADzAAAAgQUAAAAA&#10;" filled="f" stroked="f">
                <v:textbox style="mso-fit-shape-to-text:t">
                  <w:txbxContent>
                    <w:p w14:paraId="6964B8B0" w14:textId="4AE53927" w:rsidR="001166C1" w:rsidRPr="00D207DC" w:rsidRDefault="001166C1" w:rsidP="001166C1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9966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07DC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996633"/>
                            </w14:solidFill>
                            <w14:prstDash w14:val="solid"/>
                            <w14:round/>
                          </w14:textOutline>
                        </w:rPr>
                        <w:t>Plan razvoja Brodsko-posavske županije za razdoblje 2021. - 2027. godine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89861C" w14:textId="77777777" w:rsidR="002D6113" w:rsidRPr="0091228A" w:rsidRDefault="002D6113" w:rsidP="002D6113">
      <w:pPr>
        <w:jc w:val="center"/>
        <w:rPr>
          <w:b/>
          <w:sz w:val="56"/>
          <w:szCs w:val="56"/>
        </w:rPr>
      </w:pPr>
    </w:p>
    <w:p w14:paraId="22EAC1F5" w14:textId="77777777" w:rsidR="002D6113" w:rsidRPr="00D207DC" w:rsidRDefault="002D6113" w:rsidP="002D611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</w:pPr>
      <w:r w:rsidRPr="00D207DC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  <w:t>Tekstualni dio</w:t>
      </w:r>
    </w:p>
    <w:p w14:paraId="231F890E" w14:textId="1D8B653E" w:rsidR="002D6113" w:rsidRPr="00D207DC" w:rsidRDefault="00C5234C" w:rsidP="002D6113">
      <w:pPr>
        <w:jc w:val="center"/>
        <w:rPr>
          <w:b/>
          <w:sz w:val="32"/>
          <w:szCs w:val="32"/>
          <w14:textOutline w14:w="9525" w14:cap="rnd" w14:cmpd="sng" w14:algn="ctr">
            <w14:solidFill>
              <w14:srgbClr w14:val="996633"/>
            </w14:solidFill>
            <w14:prstDash w14:val="solid"/>
            <w14:bevel/>
          </w14:textOutline>
        </w:rPr>
      </w:pPr>
      <w:r w:rsidRPr="00D207DC">
        <w:rPr>
          <w:b/>
          <w:sz w:val="32"/>
          <w:szCs w:val="32"/>
          <w14:textOutline w14:w="9525" w14:cap="rnd" w14:cmpd="sng" w14:algn="ctr">
            <w14:solidFill>
              <w14:srgbClr w14:val="996633"/>
            </w14:solidFill>
            <w14:prstDash w14:val="solid"/>
            <w14:bevel/>
          </w14:textOutline>
        </w:rPr>
        <w:t xml:space="preserve">Radna verzija </w:t>
      </w:r>
    </w:p>
    <w:p w14:paraId="4A0832E9" w14:textId="77777777" w:rsidR="002D6113" w:rsidRPr="00D941D3" w:rsidRDefault="002D6113" w:rsidP="002D6113">
      <w:pPr>
        <w:jc w:val="center"/>
        <w:rPr>
          <w:b/>
          <w:sz w:val="56"/>
          <w:szCs w:val="56"/>
        </w:rPr>
      </w:pPr>
    </w:p>
    <w:p w14:paraId="63DDCC5C" w14:textId="77777777" w:rsidR="000C084C" w:rsidRDefault="000C084C" w:rsidP="002D6113">
      <w:pPr>
        <w:jc w:val="center"/>
        <w:rPr>
          <w:b/>
          <w:sz w:val="40"/>
          <w:szCs w:val="40"/>
        </w:rPr>
      </w:pPr>
    </w:p>
    <w:p w14:paraId="49350B48" w14:textId="77777777" w:rsidR="000C084C" w:rsidRDefault="000C084C" w:rsidP="002D6113">
      <w:pPr>
        <w:jc w:val="center"/>
        <w:rPr>
          <w:b/>
          <w:sz w:val="40"/>
          <w:szCs w:val="40"/>
        </w:rPr>
      </w:pPr>
    </w:p>
    <w:p w14:paraId="4DDCA104" w14:textId="77777777" w:rsidR="000C084C" w:rsidRPr="000C084C" w:rsidRDefault="000C084C" w:rsidP="002D6113">
      <w:pPr>
        <w:jc w:val="center"/>
        <w:rPr>
          <w:b/>
          <w:sz w:val="32"/>
          <w:szCs w:val="32"/>
        </w:rPr>
      </w:pPr>
    </w:p>
    <w:p w14:paraId="11A5C49D" w14:textId="77777777" w:rsidR="000C084C" w:rsidRPr="00D207DC" w:rsidRDefault="000C084C" w:rsidP="002D6113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</w:pPr>
    </w:p>
    <w:p w14:paraId="3795F680" w14:textId="2419ECFF" w:rsidR="002D6113" w:rsidRPr="00D207DC" w:rsidRDefault="002D6113" w:rsidP="002D6113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</w:pPr>
      <w:r w:rsidRPr="00D207D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  <w:t xml:space="preserve">Slavonski Brod, </w:t>
      </w:r>
      <w:r w:rsidR="00917731" w:rsidRPr="00D207D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  <w:t xml:space="preserve">listopad  </w:t>
      </w:r>
      <w:r w:rsidRPr="00D207D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996633"/>
            </w14:solidFill>
            <w14:prstDash w14:val="solid"/>
            <w14:round/>
          </w14:textOutline>
        </w:rPr>
        <w:t>2021. godine</w:t>
      </w:r>
    </w:p>
    <w:p w14:paraId="0F1E6EE2" w14:textId="77777777" w:rsidR="002D6113" w:rsidRPr="0091228A" w:rsidRDefault="002D6113" w:rsidP="002D6113">
      <w:pPr>
        <w:rPr>
          <w:sz w:val="24"/>
          <w:szCs w:val="24"/>
        </w:rPr>
      </w:pPr>
    </w:p>
    <w:p w14:paraId="34DFE48A" w14:textId="481D77D0" w:rsidR="001166C1" w:rsidRPr="001166C1" w:rsidRDefault="001166C1" w:rsidP="001166C1">
      <w:pPr>
        <w:spacing w:before="240"/>
        <w:jc w:val="both"/>
        <w:rPr>
          <w:rFonts w:cstheme="minorHAns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66C1">
        <w:rPr>
          <w:rFonts w:cstheme="minorHAns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razvoja Brodsko-posavske županije rezultat je rada velikog broja dionika, Centra za razvoj Brodsko-posavske županije u suradnji sa svim ostalim institucijama s područja županije koje su osigurale potrebne podatke i sudjelovale u kreiranju strateškog okvira uz podršku</w:t>
      </w:r>
      <w:r w:rsidRPr="001166C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166C1">
        <w:rPr>
          <w:rFonts w:cstheme="minorHAns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stručnog tima Instituta za razvoj i međunarodne odnose iz Zagreba.</w:t>
      </w:r>
    </w:p>
    <w:p w14:paraId="773FDA22" w14:textId="4971A9C5" w:rsidR="0074532D" w:rsidRPr="001166C1" w:rsidRDefault="002D6113" w:rsidP="0074532D">
      <w:pPr>
        <w:rPr>
          <w:rStyle w:val="titlechar"/>
          <w:rFonts w:cstheme="minorHAnsi"/>
        </w:rPr>
      </w:pPr>
      <w:r w:rsidRPr="0091228A">
        <w:rPr>
          <w:rFonts w:cstheme="minorHAnsi"/>
        </w:rPr>
        <w:br w:type="page"/>
      </w:r>
      <w:r w:rsidR="0074532D" w:rsidRPr="0091228A">
        <w:rPr>
          <w:rStyle w:val="titlechar"/>
          <w:rFonts w:cs="Arial"/>
          <w:b/>
        </w:rPr>
        <w:lastRenderedPageBreak/>
        <w:t xml:space="preserve">SADRŽAJ </w:t>
      </w:r>
    </w:p>
    <w:p w14:paraId="67A03DAA" w14:textId="59DEA09F" w:rsidR="0074532D" w:rsidRPr="0091228A" w:rsidRDefault="0074532D" w:rsidP="0074532D">
      <w:pPr>
        <w:rPr>
          <w:rStyle w:val="titlechar"/>
          <w:rFonts w:cs="Arial"/>
          <w:b/>
        </w:rPr>
      </w:pPr>
    </w:p>
    <w:p w14:paraId="706F3806" w14:textId="6ECB1D97" w:rsidR="009D60CA" w:rsidRDefault="00345A61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hr-HR"/>
        </w:rPr>
      </w:pPr>
      <w:r w:rsidRPr="0091228A">
        <w:rPr>
          <w:rStyle w:val="titlechar"/>
          <w:rFonts w:ascii="Times New Roman" w:hAnsi="Times New Roman" w:cs="Arial"/>
          <w:b/>
        </w:rPr>
        <w:fldChar w:fldCharType="begin"/>
      </w:r>
      <w:r w:rsidRPr="0091228A">
        <w:rPr>
          <w:rStyle w:val="titlechar"/>
          <w:rFonts w:ascii="Times New Roman" w:hAnsi="Times New Roman" w:cs="Arial"/>
          <w:b/>
        </w:rPr>
        <w:instrText xml:space="preserve"> TOC \o "1-2" \h \z \u </w:instrText>
      </w:r>
      <w:r w:rsidRPr="0091228A">
        <w:rPr>
          <w:rStyle w:val="titlechar"/>
          <w:rFonts w:ascii="Times New Roman" w:hAnsi="Times New Roman" w:cs="Arial"/>
          <w:b/>
        </w:rPr>
        <w:fldChar w:fldCharType="separate"/>
      </w:r>
      <w:hyperlink w:anchor="_Toc84938277" w:history="1">
        <w:r w:rsidR="009D60CA" w:rsidRPr="00205312">
          <w:rPr>
            <w:rStyle w:val="Hiperveza"/>
            <w:rFonts w:cs="Arial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1.</w:t>
        </w:r>
        <w:r w:rsidR="009D60CA">
          <w:rPr>
            <w:rFonts w:asciiTheme="minorHAnsi" w:eastAsiaTheme="minorEastAsia" w:hAnsiTheme="minorHAnsi"/>
            <w:noProof/>
            <w:lang w:eastAsia="hr-HR"/>
          </w:rPr>
          <w:tab/>
        </w:r>
        <w:r w:rsidR="009D60CA" w:rsidRPr="00205312">
          <w:rPr>
            <w:rStyle w:val="Hiperveza"/>
            <w:rFonts w:cs="Arial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UVOD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_Toc84938277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5</w:t>
        </w:r>
        <w:r w:rsidR="009D60CA">
          <w:rPr>
            <w:noProof/>
            <w:webHidden/>
          </w:rPr>
          <w:fldChar w:fldCharType="end"/>
        </w:r>
      </w:hyperlink>
    </w:p>
    <w:p w14:paraId="75C5280D" w14:textId="19BCD4A7" w:rsidR="009D60CA" w:rsidRDefault="001C77E8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hr-HR"/>
        </w:rPr>
      </w:pPr>
      <w:hyperlink w:anchor="_Toc84938278" w:history="1"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2.</w:t>
        </w:r>
        <w:r w:rsidR="009D60CA">
          <w:rPr>
            <w:rFonts w:asciiTheme="minorHAnsi" w:eastAsiaTheme="minorEastAsia" w:hAnsiTheme="minorHAnsi"/>
            <w:noProof/>
            <w:lang w:eastAsia="hr-HR"/>
          </w:rPr>
          <w:tab/>
        </w:r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SREDNJOROČNA VIZIJA RAZVOJA BRODSKO-POSAVSKE ŽUPANIJE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_Toc84938278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9</w:t>
        </w:r>
        <w:r w:rsidR="009D60CA">
          <w:rPr>
            <w:noProof/>
            <w:webHidden/>
          </w:rPr>
          <w:fldChar w:fldCharType="end"/>
        </w:r>
      </w:hyperlink>
    </w:p>
    <w:p w14:paraId="279E6DE4" w14:textId="0B1F20DD" w:rsidR="009D60CA" w:rsidRDefault="001C77E8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hr-HR"/>
        </w:rPr>
      </w:pPr>
      <w:hyperlink w:anchor="_Toc84938279" w:history="1"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3.</w:t>
        </w:r>
        <w:r w:rsidR="009D60CA">
          <w:rPr>
            <w:rFonts w:asciiTheme="minorHAnsi" w:eastAsiaTheme="minorEastAsia" w:hAnsiTheme="minorHAnsi"/>
            <w:noProof/>
            <w:lang w:eastAsia="hr-HR"/>
          </w:rPr>
          <w:tab/>
        </w:r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OPIS RAZVOJNIH POTREBA I POTENCIJALA U SREDNJOROČNOM RAZDOBLJU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_Toc84938279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9</w:t>
        </w:r>
        <w:r w:rsidR="009D60CA">
          <w:rPr>
            <w:noProof/>
            <w:webHidden/>
          </w:rPr>
          <w:fldChar w:fldCharType="end"/>
        </w:r>
      </w:hyperlink>
    </w:p>
    <w:p w14:paraId="03EA7E5A" w14:textId="6655080D" w:rsidR="009D60CA" w:rsidRDefault="001C77E8">
      <w:pPr>
        <w:pStyle w:val="Sadraj2"/>
        <w:tabs>
          <w:tab w:val="right" w:leader="dot" w:pos="9062"/>
        </w:tabs>
        <w:rPr>
          <w:rFonts w:asciiTheme="minorHAnsi" w:hAnsiTheme="minorHAnsi" w:cstheme="minorBidi"/>
          <w:noProof/>
          <w:lang w:val="hr-HR" w:eastAsia="hr-HR"/>
        </w:rPr>
      </w:pPr>
      <w:hyperlink w:anchor="_Toc84938280" w:history="1"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noFill/>
              <w14:prstDash w14:val="solid"/>
              <w14:round/>
            </w14:textOutline>
          </w:rPr>
          <w:t>3.1. SWOT ANALIZA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_Toc84938280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10</w:t>
        </w:r>
        <w:r w:rsidR="009D60CA">
          <w:rPr>
            <w:noProof/>
            <w:webHidden/>
          </w:rPr>
          <w:fldChar w:fldCharType="end"/>
        </w:r>
      </w:hyperlink>
    </w:p>
    <w:p w14:paraId="55FDF0DA" w14:textId="2FAE0F49" w:rsidR="009D60CA" w:rsidRDefault="001C77E8">
      <w:pPr>
        <w:pStyle w:val="Sadraj2"/>
        <w:tabs>
          <w:tab w:val="right" w:leader="dot" w:pos="9062"/>
        </w:tabs>
        <w:rPr>
          <w:rFonts w:asciiTheme="minorHAnsi" w:hAnsiTheme="minorHAnsi" w:cstheme="minorBidi"/>
          <w:noProof/>
          <w:lang w:val="hr-HR" w:eastAsia="hr-HR"/>
        </w:rPr>
      </w:pPr>
      <w:hyperlink w:anchor="_Toc84938281" w:history="1"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noFill/>
              <w14:prstDash w14:val="solid"/>
              <w14:round/>
            </w14:textOutline>
          </w:rPr>
          <w:t>3.2. RAZVOJNE POTREBE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_Toc84938281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15</w:t>
        </w:r>
        <w:r w:rsidR="009D60CA">
          <w:rPr>
            <w:noProof/>
            <w:webHidden/>
          </w:rPr>
          <w:fldChar w:fldCharType="end"/>
        </w:r>
      </w:hyperlink>
    </w:p>
    <w:p w14:paraId="0A0DB0D8" w14:textId="047DE3C9" w:rsidR="009D60CA" w:rsidRDefault="001C77E8">
      <w:pPr>
        <w:pStyle w:val="Sadraj2"/>
        <w:tabs>
          <w:tab w:val="right" w:leader="dot" w:pos="9062"/>
        </w:tabs>
        <w:rPr>
          <w:rFonts w:asciiTheme="minorHAnsi" w:hAnsiTheme="minorHAnsi" w:cstheme="minorBidi"/>
          <w:noProof/>
          <w:lang w:val="hr-HR" w:eastAsia="hr-HR"/>
        </w:rPr>
      </w:pPr>
      <w:hyperlink w:anchor="_Toc84938282" w:history="1"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noFill/>
              <w14:prstDash w14:val="solid"/>
              <w14:round/>
            </w14:textOutline>
          </w:rPr>
          <w:t>3.3. RAZVOJNI POTENCIJALI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_Toc84938282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17</w:t>
        </w:r>
        <w:r w:rsidR="009D60CA">
          <w:rPr>
            <w:noProof/>
            <w:webHidden/>
          </w:rPr>
          <w:fldChar w:fldCharType="end"/>
        </w:r>
      </w:hyperlink>
    </w:p>
    <w:p w14:paraId="4A45F32F" w14:textId="09E81C0D" w:rsidR="009D60CA" w:rsidRDefault="001C77E8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hr-HR"/>
        </w:rPr>
      </w:pPr>
      <w:hyperlink w:anchor="_Toc84938283" w:history="1"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4.</w:t>
        </w:r>
        <w:r w:rsidR="009D60CA">
          <w:rPr>
            <w:rFonts w:asciiTheme="minorHAnsi" w:eastAsiaTheme="minorEastAsia" w:hAnsiTheme="minorHAnsi"/>
            <w:noProof/>
            <w:lang w:eastAsia="hr-HR"/>
          </w:rPr>
          <w:tab/>
        </w:r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OPIS PRIORITETA JAVNIH POLITIKA U SREDNJOROČNOM RAZDOBLJU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_Toc84938283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19</w:t>
        </w:r>
        <w:r w:rsidR="009D60CA">
          <w:rPr>
            <w:noProof/>
            <w:webHidden/>
          </w:rPr>
          <w:fldChar w:fldCharType="end"/>
        </w:r>
      </w:hyperlink>
    </w:p>
    <w:p w14:paraId="788F2C0F" w14:textId="5E4F4D15" w:rsidR="009D60CA" w:rsidRDefault="001C77E8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hr-HR"/>
        </w:rPr>
      </w:pPr>
      <w:hyperlink w:anchor="_Toc84938284" w:history="1"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5.</w:t>
        </w:r>
        <w:r w:rsidR="009D60CA">
          <w:rPr>
            <w:rFonts w:asciiTheme="minorHAnsi" w:eastAsiaTheme="minorEastAsia" w:hAnsiTheme="minorHAnsi"/>
            <w:noProof/>
            <w:lang w:eastAsia="hr-HR"/>
          </w:rPr>
          <w:tab/>
        </w:r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POPIS POSEBNIH CILJEVA S OPISOM, PRIPADAJUĆIM POKAZATELJIMA ISHODA I POPISOM MJERA ZA PROVEDBU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_Toc84938284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22</w:t>
        </w:r>
        <w:r w:rsidR="009D60CA">
          <w:rPr>
            <w:noProof/>
            <w:webHidden/>
          </w:rPr>
          <w:fldChar w:fldCharType="end"/>
        </w:r>
      </w:hyperlink>
    </w:p>
    <w:p w14:paraId="279A416C" w14:textId="4956F9E8" w:rsidR="009D60CA" w:rsidRDefault="001C77E8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hr-HR"/>
        </w:rPr>
      </w:pPr>
      <w:hyperlink w:anchor="_Toc84938285" w:history="1"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6.</w:t>
        </w:r>
        <w:r w:rsidR="009D60CA">
          <w:rPr>
            <w:rFonts w:asciiTheme="minorHAnsi" w:eastAsiaTheme="minorEastAsia" w:hAnsiTheme="minorHAnsi"/>
            <w:noProof/>
            <w:lang w:eastAsia="hr-HR"/>
          </w:rPr>
          <w:tab/>
        </w:r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TERMINSKI PLAN PROVEDBE STRATEŠKIH PROJEKTA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_Toc84938285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33</w:t>
        </w:r>
        <w:r w:rsidR="009D60CA">
          <w:rPr>
            <w:noProof/>
            <w:webHidden/>
          </w:rPr>
          <w:fldChar w:fldCharType="end"/>
        </w:r>
      </w:hyperlink>
    </w:p>
    <w:p w14:paraId="63CC9D61" w14:textId="2D34103E" w:rsidR="009D60CA" w:rsidRDefault="001C77E8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hr-HR"/>
        </w:rPr>
      </w:pPr>
      <w:hyperlink w:anchor="_Toc84938286" w:history="1"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7.</w:t>
        </w:r>
        <w:r w:rsidR="009D60CA">
          <w:rPr>
            <w:rFonts w:asciiTheme="minorHAnsi" w:eastAsiaTheme="minorEastAsia" w:hAnsiTheme="minorHAnsi"/>
            <w:noProof/>
            <w:lang w:eastAsia="hr-HR"/>
          </w:rPr>
          <w:tab/>
        </w:r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INDIKATIVNI FINANCIJSKI OKVIR S PRIKAZOM FINANCIJSKIH PRETPOSTAVKI ZA PROVEDBU POSEBNIH CILJEVA PLANA RAZVOJA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_Toc84938286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38</w:t>
        </w:r>
        <w:r w:rsidR="009D60CA">
          <w:rPr>
            <w:noProof/>
            <w:webHidden/>
          </w:rPr>
          <w:fldChar w:fldCharType="end"/>
        </w:r>
      </w:hyperlink>
    </w:p>
    <w:p w14:paraId="3BBE8794" w14:textId="7B4BAEE8" w:rsidR="009D60CA" w:rsidRDefault="001C77E8">
      <w:pPr>
        <w:pStyle w:val="Sadraj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lang w:eastAsia="hr-HR"/>
        </w:rPr>
      </w:pPr>
      <w:hyperlink w:anchor="_Toc84938287" w:history="1"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8.</w:t>
        </w:r>
        <w:r w:rsidR="009D60CA">
          <w:rPr>
            <w:rFonts w:asciiTheme="minorHAnsi" w:eastAsiaTheme="minorEastAsia" w:hAnsiTheme="minorHAnsi"/>
            <w:noProof/>
            <w:lang w:eastAsia="hr-HR"/>
          </w:rPr>
          <w:tab/>
        </w:r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OKVIR ZA PRAĆENJE I VREDNOVANJE PLANA RAZVOJA BRODSKO-POSAVSKE ŽUPANIJE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_Toc84938287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40</w:t>
        </w:r>
        <w:r w:rsidR="009D60CA">
          <w:rPr>
            <w:noProof/>
            <w:webHidden/>
          </w:rPr>
          <w:fldChar w:fldCharType="end"/>
        </w:r>
      </w:hyperlink>
    </w:p>
    <w:p w14:paraId="1763FD7A" w14:textId="0CAD9317" w:rsidR="009D60CA" w:rsidRDefault="001C77E8">
      <w:pPr>
        <w:pStyle w:val="Sadraj1"/>
        <w:tabs>
          <w:tab w:val="right" w:leader="dot" w:pos="9062"/>
        </w:tabs>
        <w:rPr>
          <w:rFonts w:asciiTheme="minorHAnsi" w:eastAsiaTheme="minorEastAsia" w:hAnsiTheme="minorHAnsi"/>
          <w:noProof/>
          <w:lang w:eastAsia="hr-HR"/>
        </w:rPr>
      </w:pPr>
      <w:hyperlink w:anchor="_Toc84938288" w:history="1"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Prilog 1: Tablica - Plan razvoja Brodsko-posavske županije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_Toc84938288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43</w:t>
        </w:r>
        <w:r w:rsidR="009D60CA">
          <w:rPr>
            <w:noProof/>
            <w:webHidden/>
          </w:rPr>
          <w:fldChar w:fldCharType="end"/>
        </w:r>
      </w:hyperlink>
    </w:p>
    <w:p w14:paraId="71FFFA73" w14:textId="71580FA5" w:rsidR="009D60CA" w:rsidRDefault="001C77E8">
      <w:pPr>
        <w:pStyle w:val="Sadraj1"/>
        <w:tabs>
          <w:tab w:val="right" w:leader="dot" w:pos="9062"/>
        </w:tabs>
        <w:rPr>
          <w:rFonts w:asciiTheme="minorHAnsi" w:eastAsiaTheme="minorEastAsia" w:hAnsiTheme="minorHAnsi"/>
          <w:noProof/>
          <w:lang w:eastAsia="hr-HR"/>
        </w:rPr>
      </w:pPr>
      <w:hyperlink w:anchor="_Toc84938289" w:history="1">
        <w:r w:rsidR="009D60CA" w:rsidRPr="00205312">
          <w:rPr>
            <w:rStyle w:val="Hiperveza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Prilog 2: Osnovna analiza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_Toc84938289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43</w:t>
        </w:r>
        <w:r w:rsidR="009D60CA">
          <w:rPr>
            <w:noProof/>
            <w:webHidden/>
          </w:rPr>
          <w:fldChar w:fldCharType="end"/>
        </w:r>
      </w:hyperlink>
    </w:p>
    <w:p w14:paraId="0437F269" w14:textId="5A3F9342" w:rsidR="009D60CA" w:rsidRDefault="001C77E8">
      <w:pPr>
        <w:pStyle w:val="Sadraj1"/>
        <w:tabs>
          <w:tab w:val="right" w:leader="dot" w:pos="9062"/>
        </w:tabs>
        <w:rPr>
          <w:rFonts w:asciiTheme="minorHAnsi" w:eastAsiaTheme="minorEastAsia" w:hAnsiTheme="minorHAnsi"/>
          <w:noProof/>
          <w:lang w:eastAsia="hr-HR"/>
        </w:rPr>
      </w:pPr>
      <w:hyperlink w:anchor="_Toc84938290" w:history="1">
        <w:r w:rsidR="009D60CA" w:rsidRPr="00205312">
          <w:rPr>
            <w:rStyle w:val="Hiperveza"/>
            <w:rFonts w:cs="Arial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Prilog 3: Opis mjera</w:t>
        </w:r>
        <w:r w:rsidR="009D60CA">
          <w:rPr>
            <w:noProof/>
            <w:webHidden/>
          </w:rPr>
          <w:tab/>
        </w:r>
        <w:r w:rsidR="009D60CA">
          <w:rPr>
            <w:noProof/>
            <w:webHidden/>
          </w:rPr>
          <w:fldChar w:fldCharType="begin"/>
        </w:r>
        <w:r w:rsidR="009D60CA">
          <w:rPr>
            <w:noProof/>
            <w:webHidden/>
          </w:rPr>
          <w:instrText xml:space="preserve"> PAGEREF _Toc84938290 \h </w:instrText>
        </w:r>
        <w:r w:rsidR="009D60CA">
          <w:rPr>
            <w:noProof/>
            <w:webHidden/>
          </w:rPr>
        </w:r>
        <w:r w:rsidR="009D60CA">
          <w:rPr>
            <w:noProof/>
            <w:webHidden/>
          </w:rPr>
          <w:fldChar w:fldCharType="separate"/>
        </w:r>
        <w:r w:rsidR="00D207DC">
          <w:rPr>
            <w:noProof/>
            <w:webHidden/>
          </w:rPr>
          <w:t>43</w:t>
        </w:r>
        <w:r w:rsidR="009D60CA">
          <w:rPr>
            <w:noProof/>
            <w:webHidden/>
          </w:rPr>
          <w:fldChar w:fldCharType="end"/>
        </w:r>
      </w:hyperlink>
    </w:p>
    <w:p w14:paraId="0816463F" w14:textId="715B5785" w:rsidR="0074532D" w:rsidRPr="0091228A" w:rsidRDefault="00345A61" w:rsidP="0074532D">
      <w:pPr>
        <w:rPr>
          <w:rStyle w:val="titlechar"/>
          <w:rFonts w:cs="Arial"/>
        </w:rPr>
      </w:pPr>
      <w:r w:rsidRPr="0091228A">
        <w:rPr>
          <w:rStyle w:val="titlechar"/>
          <w:rFonts w:ascii="Times New Roman" w:hAnsi="Times New Roman" w:cs="Arial"/>
          <w:b/>
        </w:rPr>
        <w:fldChar w:fldCharType="end"/>
      </w:r>
    </w:p>
    <w:p w14:paraId="599191C3" w14:textId="77777777" w:rsidR="0074532D" w:rsidRPr="0091228A" w:rsidRDefault="0074532D" w:rsidP="0074532D">
      <w:pPr>
        <w:rPr>
          <w:rStyle w:val="titlechar"/>
          <w:rFonts w:cs="Arial"/>
        </w:rPr>
      </w:pPr>
    </w:p>
    <w:p w14:paraId="4091CC7E" w14:textId="246A6B2E" w:rsidR="0074532D" w:rsidRPr="0091228A" w:rsidRDefault="00BC6F91" w:rsidP="0074532D">
      <w:pPr>
        <w:rPr>
          <w:rStyle w:val="titlechar"/>
          <w:rFonts w:cs="Arial"/>
          <w:b/>
        </w:rPr>
      </w:pPr>
      <w:r w:rsidRPr="0091228A">
        <w:rPr>
          <w:rStyle w:val="titlechar"/>
          <w:rFonts w:cs="Arial"/>
          <w:b/>
        </w:rPr>
        <w:t>Popis slika</w:t>
      </w:r>
    </w:p>
    <w:p w14:paraId="6533E26F" w14:textId="606843B4" w:rsidR="000C6BD4" w:rsidRDefault="007B7B70">
      <w:pPr>
        <w:pStyle w:val="Tablicaslika"/>
        <w:tabs>
          <w:tab w:val="right" w:leader="dot" w:pos="9062"/>
        </w:tabs>
        <w:rPr>
          <w:rFonts w:eastAsiaTheme="minorEastAsia"/>
          <w:noProof/>
          <w:lang w:eastAsia="hr-HR"/>
        </w:rPr>
      </w:pPr>
      <w:r w:rsidRPr="0091228A">
        <w:rPr>
          <w:rStyle w:val="titlechar"/>
          <w:rFonts w:cs="Arial"/>
          <w:bCs/>
        </w:rPr>
        <w:fldChar w:fldCharType="begin"/>
      </w:r>
      <w:r w:rsidRPr="0091228A">
        <w:rPr>
          <w:rStyle w:val="titlechar"/>
          <w:rFonts w:cs="Arial"/>
          <w:bCs/>
        </w:rPr>
        <w:instrText xml:space="preserve"> TOC \h \z \c "Slika" </w:instrText>
      </w:r>
      <w:r w:rsidRPr="0091228A">
        <w:rPr>
          <w:rStyle w:val="titlechar"/>
          <w:rFonts w:cs="Arial"/>
          <w:bCs/>
        </w:rPr>
        <w:fldChar w:fldCharType="separate"/>
      </w:r>
      <w:hyperlink w:anchor="_Toc83978785" w:history="1">
        <w:r w:rsidR="000C6BD4" w:rsidRPr="00D73BA1">
          <w:rPr>
            <w:rStyle w:val="Hiperveza"/>
            <w:noProof/>
          </w:rPr>
          <w:t>Slika 1</w:t>
        </w:r>
        <w:r w:rsidR="000C6BD4" w:rsidRPr="00D73BA1">
          <w:rPr>
            <w:rStyle w:val="Hiperveza"/>
            <w:iCs/>
            <w:noProof/>
          </w:rPr>
          <w:t>. Prostorni obuhvat Brodsko-posavske županije</w:t>
        </w:r>
        <w:r w:rsidR="000C6BD4">
          <w:rPr>
            <w:noProof/>
            <w:webHidden/>
          </w:rPr>
          <w:tab/>
        </w:r>
        <w:r w:rsidR="000C6BD4">
          <w:rPr>
            <w:noProof/>
            <w:webHidden/>
          </w:rPr>
          <w:fldChar w:fldCharType="begin"/>
        </w:r>
        <w:r w:rsidR="000C6BD4">
          <w:rPr>
            <w:noProof/>
            <w:webHidden/>
          </w:rPr>
          <w:instrText xml:space="preserve"> PAGEREF _Toc83978785 \h </w:instrText>
        </w:r>
        <w:r w:rsidR="000C6BD4">
          <w:rPr>
            <w:noProof/>
            <w:webHidden/>
          </w:rPr>
        </w:r>
        <w:r w:rsidR="000C6BD4">
          <w:rPr>
            <w:noProof/>
            <w:webHidden/>
          </w:rPr>
          <w:fldChar w:fldCharType="separate"/>
        </w:r>
        <w:r w:rsidR="000C6BD4">
          <w:rPr>
            <w:noProof/>
            <w:webHidden/>
          </w:rPr>
          <w:t>5</w:t>
        </w:r>
        <w:r w:rsidR="000C6BD4">
          <w:rPr>
            <w:noProof/>
            <w:webHidden/>
          </w:rPr>
          <w:fldChar w:fldCharType="end"/>
        </w:r>
      </w:hyperlink>
    </w:p>
    <w:p w14:paraId="219E8846" w14:textId="20CFF698" w:rsidR="004614DD" w:rsidRPr="0091228A" w:rsidRDefault="007B7B70" w:rsidP="0074532D">
      <w:pPr>
        <w:rPr>
          <w:rStyle w:val="titlechar"/>
          <w:rFonts w:cs="Arial"/>
          <w:bCs/>
        </w:rPr>
      </w:pPr>
      <w:r w:rsidRPr="0091228A">
        <w:rPr>
          <w:rStyle w:val="titlechar"/>
          <w:rFonts w:cs="Arial"/>
          <w:bCs/>
        </w:rPr>
        <w:fldChar w:fldCharType="end"/>
      </w:r>
    </w:p>
    <w:p w14:paraId="4BAFD51F" w14:textId="77777777" w:rsidR="00345A61" w:rsidRPr="0091228A" w:rsidRDefault="00345A61" w:rsidP="0074532D">
      <w:pPr>
        <w:rPr>
          <w:rStyle w:val="titlechar"/>
          <w:rFonts w:cs="Arial"/>
          <w:bCs/>
        </w:rPr>
      </w:pPr>
    </w:p>
    <w:p w14:paraId="158B169B" w14:textId="3987B249" w:rsidR="00BC6F91" w:rsidRPr="0091228A" w:rsidRDefault="00BC6F91" w:rsidP="0074532D">
      <w:pPr>
        <w:rPr>
          <w:rStyle w:val="titlechar"/>
          <w:rFonts w:cs="Arial"/>
          <w:b/>
        </w:rPr>
      </w:pPr>
      <w:r w:rsidRPr="0091228A">
        <w:rPr>
          <w:rStyle w:val="titlechar"/>
          <w:rFonts w:cs="Arial"/>
          <w:b/>
        </w:rPr>
        <w:t>Popis tablica</w:t>
      </w:r>
    </w:p>
    <w:p w14:paraId="1CFB9A8B" w14:textId="5F07DCB8" w:rsidR="000C6BD4" w:rsidRDefault="007B7B70">
      <w:pPr>
        <w:pStyle w:val="Tablicaslika"/>
        <w:tabs>
          <w:tab w:val="right" w:leader="dot" w:pos="9062"/>
        </w:tabs>
        <w:rPr>
          <w:rFonts w:eastAsiaTheme="minorEastAsia"/>
          <w:noProof/>
          <w:lang w:eastAsia="hr-HR"/>
        </w:rPr>
      </w:pPr>
      <w:r w:rsidRPr="0091228A">
        <w:rPr>
          <w:rStyle w:val="titlechar"/>
          <w:rFonts w:cs="Arial"/>
          <w:bCs/>
        </w:rPr>
        <w:fldChar w:fldCharType="begin"/>
      </w:r>
      <w:r w:rsidRPr="0091228A">
        <w:rPr>
          <w:rStyle w:val="titlechar"/>
          <w:rFonts w:cs="Arial"/>
          <w:bCs/>
        </w:rPr>
        <w:instrText xml:space="preserve"> TOC \h \z \c "Tablica" </w:instrText>
      </w:r>
      <w:r w:rsidRPr="0091228A">
        <w:rPr>
          <w:rStyle w:val="titlechar"/>
          <w:rFonts w:cs="Arial"/>
          <w:bCs/>
        </w:rPr>
        <w:fldChar w:fldCharType="separate"/>
      </w:r>
      <w:hyperlink w:anchor="_Toc83978793" w:history="1">
        <w:r w:rsidR="000C6BD4" w:rsidRPr="00D7147D">
          <w:rPr>
            <w:rStyle w:val="Hiperveza"/>
            <w:noProof/>
          </w:rPr>
          <w:t>Tablica 1. Usklađenost prioriteta i posebnih ciljeva Plana razvoja BPŽ-a do 2027. godine sa strateškim ciljevima (SC) Nacionalne razvojne strategije do 2030. godine</w:t>
        </w:r>
        <w:r w:rsidR="000C6BD4">
          <w:rPr>
            <w:noProof/>
            <w:webHidden/>
          </w:rPr>
          <w:tab/>
        </w:r>
        <w:r w:rsidR="000C6BD4">
          <w:rPr>
            <w:noProof/>
            <w:webHidden/>
          </w:rPr>
          <w:fldChar w:fldCharType="begin"/>
        </w:r>
        <w:r w:rsidR="000C6BD4">
          <w:rPr>
            <w:noProof/>
            <w:webHidden/>
          </w:rPr>
          <w:instrText xml:space="preserve"> PAGEREF _Toc83978793 \h </w:instrText>
        </w:r>
        <w:r w:rsidR="000C6BD4">
          <w:rPr>
            <w:noProof/>
            <w:webHidden/>
          </w:rPr>
        </w:r>
        <w:r w:rsidR="000C6BD4">
          <w:rPr>
            <w:noProof/>
            <w:webHidden/>
          </w:rPr>
          <w:fldChar w:fldCharType="separate"/>
        </w:r>
        <w:r w:rsidR="001221A2">
          <w:rPr>
            <w:noProof/>
            <w:webHidden/>
          </w:rPr>
          <w:t>7</w:t>
        </w:r>
        <w:r w:rsidR="000C6BD4">
          <w:rPr>
            <w:noProof/>
            <w:webHidden/>
          </w:rPr>
          <w:fldChar w:fldCharType="end"/>
        </w:r>
      </w:hyperlink>
    </w:p>
    <w:p w14:paraId="7B6485BB" w14:textId="0C7B07AC" w:rsidR="000C6BD4" w:rsidRDefault="001C77E8">
      <w:pPr>
        <w:pStyle w:val="Tablicaslika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3978794" w:history="1">
        <w:r w:rsidR="000C6BD4" w:rsidRPr="00D7147D">
          <w:rPr>
            <w:rStyle w:val="Hiperveza"/>
            <w:noProof/>
          </w:rPr>
          <w:t>Tablica 2. SWOT analiza</w:t>
        </w:r>
        <w:r w:rsidR="000C6BD4">
          <w:rPr>
            <w:noProof/>
            <w:webHidden/>
          </w:rPr>
          <w:tab/>
        </w:r>
        <w:r w:rsidR="000C6BD4">
          <w:rPr>
            <w:noProof/>
            <w:webHidden/>
          </w:rPr>
          <w:fldChar w:fldCharType="begin"/>
        </w:r>
        <w:r w:rsidR="000C6BD4">
          <w:rPr>
            <w:noProof/>
            <w:webHidden/>
          </w:rPr>
          <w:instrText xml:space="preserve"> PAGEREF _Toc83978794 \h </w:instrText>
        </w:r>
        <w:r w:rsidR="000C6BD4">
          <w:rPr>
            <w:noProof/>
            <w:webHidden/>
          </w:rPr>
        </w:r>
        <w:r w:rsidR="000C6BD4">
          <w:rPr>
            <w:noProof/>
            <w:webHidden/>
          </w:rPr>
          <w:fldChar w:fldCharType="separate"/>
        </w:r>
        <w:r w:rsidR="001221A2">
          <w:rPr>
            <w:noProof/>
            <w:webHidden/>
          </w:rPr>
          <w:t>10</w:t>
        </w:r>
        <w:r w:rsidR="000C6BD4">
          <w:rPr>
            <w:noProof/>
            <w:webHidden/>
          </w:rPr>
          <w:fldChar w:fldCharType="end"/>
        </w:r>
      </w:hyperlink>
    </w:p>
    <w:p w14:paraId="5A6B62D3" w14:textId="4B3E32EE" w:rsidR="000C6BD4" w:rsidRDefault="001C77E8">
      <w:pPr>
        <w:pStyle w:val="Tablicaslika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3978795" w:history="1">
        <w:r w:rsidR="000C6BD4" w:rsidRPr="00D7147D">
          <w:rPr>
            <w:rStyle w:val="Hiperveza"/>
            <w:noProof/>
          </w:rPr>
          <w:t xml:space="preserve">Tablica 3. </w:t>
        </w:r>
        <w:r w:rsidR="000C6BD4" w:rsidRPr="00D7147D">
          <w:rPr>
            <w:rStyle w:val="Hiperveza"/>
            <w:rFonts w:eastAsia="Calibri" w:cstheme="minorHAnsi"/>
            <w:noProof/>
          </w:rPr>
          <w:t>Strateški okvir razvoja Brodsko-posavske županije</w:t>
        </w:r>
        <w:r w:rsidR="000C6BD4">
          <w:rPr>
            <w:noProof/>
            <w:webHidden/>
          </w:rPr>
          <w:tab/>
        </w:r>
        <w:r w:rsidR="000C6BD4">
          <w:rPr>
            <w:noProof/>
            <w:webHidden/>
          </w:rPr>
          <w:fldChar w:fldCharType="begin"/>
        </w:r>
        <w:r w:rsidR="000C6BD4">
          <w:rPr>
            <w:noProof/>
            <w:webHidden/>
          </w:rPr>
          <w:instrText xml:space="preserve"> PAGEREF _Toc83978795 \h </w:instrText>
        </w:r>
        <w:r w:rsidR="000C6BD4">
          <w:rPr>
            <w:noProof/>
            <w:webHidden/>
          </w:rPr>
        </w:r>
        <w:r w:rsidR="000C6BD4">
          <w:rPr>
            <w:noProof/>
            <w:webHidden/>
          </w:rPr>
          <w:fldChar w:fldCharType="separate"/>
        </w:r>
        <w:r w:rsidR="001221A2">
          <w:rPr>
            <w:noProof/>
            <w:webHidden/>
          </w:rPr>
          <w:t>22</w:t>
        </w:r>
        <w:r w:rsidR="000C6BD4">
          <w:rPr>
            <w:noProof/>
            <w:webHidden/>
          </w:rPr>
          <w:fldChar w:fldCharType="end"/>
        </w:r>
      </w:hyperlink>
    </w:p>
    <w:p w14:paraId="64BB1749" w14:textId="4171D1D0" w:rsidR="000C6BD4" w:rsidRDefault="001C77E8">
      <w:pPr>
        <w:pStyle w:val="Tablicaslika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3978796" w:history="1">
        <w:r w:rsidR="000C6BD4" w:rsidRPr="00D7147D">
          <w:rPr>
            <w:rStyle w:val="Hiperveza"/>
            <w:noProof/>
          </w:rPr>
          <w:t xml:space="preserve">Tablica 4. </w:t>
        </w:r>
        <w:r w:rsidR="000C6BD4" w:rsidRPr="00D7147D">
          <w:rPr>
            <w:rStyle w:val="Hiperveza"/>
            <w:rFonts w:cstheme="minorHAnsi"/>
            <w:iCs/>
            <w:noProof/>
          </w:rPr>
          <w:t>Terminski plan provedbe strateških projekata Brodsko-posavske županije i povezanih tijela</w:t>
        </w:r>
        <w:r w:rsidR="000C6BD4">
          <w:rPr>
            <w:noProof/>
            <w:webHidden/>
          </w:rPr>
          <w:tab/>
        </w:r>
        <w:r w:rsidR="000C6BD4">
          <w:rPr>
            <w:noProof/>
            <w:webHidden/>
          </w:rPr>
          <w:fldChar w:fldCharType="begin"/>
        </w:r>
        <w:r w:rsidR="000C6BD4">
          <w:rPr>
            <w:noProof/>
            <w:webHidden/>
          </w:rPr>
          <w:instrText xml:space="preserve"> PAGEREF _Toc83978796 \h </w:instrText>
        </w:r>
        <w:r w:rsidR="000C6BD4">
          <w:rPr>
            <w:noProof/>
            <w:webHidden/>
          </w:rPr>
        </w:r>
        <w:r w:rsidR="000C6BD4">
          <w:rPr>
            <w:noProof/>
            <w:webHidden/>
          </w:rPr>
          <w:fldChar w:fldCharType="separate"/>
        </w:r>
        <w:r w:rsidR="001221A2">
          <w:rPr>
            <w:noProof/>
            <w:webHidden/>
          </w:rPr>
          <w:t>32</w:t>
        </w:r>
        <w:r w:rsidR="000C6BD4">
          <w:rPr>
            <w:noProof/>
            <w:webHidden/>
          </w:rPr>
          <w:fldChar w:fldCharType="end"/>
        </w:r>
      </w:hyperlink>
    </w:p>
    <w:p w14:paraId="7879352A" w14:textId="4D866D1D" w:rsidR="000C6BD4" w:rsidRDefault="001C77E8">
      <w:pPr>
        <w:pStyle w:val="Tablicaslika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3978797" w:history="1">
        <w:r w:rsidR="000C6BD4" w:rsidRPr="00D7147D">
          <w:rPr>
            <w:rStyle w:val="Hiperveza"/>
            <w:noProof/>
          </w:rPr>
          <w:t xml:space="preserve">Tablica 5. </w:t>
        </w:r>
        <w:r w:rsidR="000C6BD4" w:rsidRPr="00D7147D">
          <w:rPr>
            <w:rStyle w:val="Hiperveza"/>
            <w:rFonts w:cstheme="minorHAnsi"/>
            <w:iCs/>
            <w:noProof/>
          </w:rPr>
          <w:t>Terminski plan provedbe strateških projekata važnih za razvoj Brodsko-posavske županije čija provedba nije u nadležnosti Županije</w:t>
        </w:r>
        <w:r w:rsidR="000C6BD4">
          <w:rPr>
            <w:noProof/>
            <w:webHidden/>
          </w:rPr>
          <w:tab/>
        </w:r>
        <w:r w:rsidR="000C6BD4">
          <w:rPr>
            <w:noProof/>
            <w:webHidden/>
          </w:rPr>
          <w:fldChar w:fldCharType="begin"/>
        </w:r>
        <w:r w:rsidR="000C6BD4">
          <w:rPr>
            <w:noProof/>
            <w:webHidden/>
          </w:rPr>
          <w:instrText xml:space="preserve"> PAGEREF _Toc83978797 \h </w:instrText>
        </w:r>
        <w:r w:rsidR="000C6BD4">
          <w:rPr>
            <w:noProof/>
            <w:webHidden/>
          </w:rPr>
        </w:r>
        <w:r w:rsidR="000C6BD4">
          <w:rPr>
            <w:noProof/>
            <w:webHidden/>
          </w:rPr>
          <w:fldChar w:fldCharType="separate"/>
        </w:r>
        <w:r w:rsidR="001221A2">
          <w:rPr>
            <w:noProof/>
            <w:webHidden/>
          </w:rPr>
          <w:t>34</w:t>
        </w:r>
        <w:r w:rsidR="000C6BD4">
          <w:rPr>
            <w:noProof/>
            <w:webHidden/>
          </w:rPr>
          <w:fldChar w:fldCharType="end"/>
        </w:r>
      </w:hyperlink>
    </w:p>
    <w:p w14:paraId="5CF990CE" w14:textId="1BE81A15" w:rsidR="000C6BD4" w:rsidRDefault="001C77E8">
      <w:pPr>
        <w:pStyle w:val="Tablicaslika"/>
        <w:tabs>
          <w:tab w:val="right" w:leader="dot" w:pos="9062"/>
        </w:tabs>
        <w:rPr>
          <w:rFonts w:eastAsiaTheme="minorEastAsia"/>
          <w:noProof/>
          <w:lang w:eastAsia="hr-HR"/>
        </w:rPr>
      </w:pPr>
      <w:hyperlink w:anchor="_Toc83978798" w:history="1">
        <w:r w:rsidR="000C6BD4" w:rsidRPr="00D7147D">
          <w:rPr>
            <w:rStyle w:val="Hiperveza"/>
            <w:noProof/>
          </w:rPr>
          <w:t xml:space="preserve">Tablica 6. </w:t>
        </w:r>
        <w:r w:rsidR="000C6BD4" w:rsidRPr="00D7147D">
          <w:rPr>
            <w:rStyle w:val="Hiperveza"/>
            <w:rFonts w:cstheme="minorHAnsi"/>
            <w:noProof/>
          </w:rPr>
          <w:t>Prikaz financijskog okvira za plan razvoja BPŽ-a</w:t>
        </w:r>
        <w:r w:rsidR="000C6BD4">
          <w:rPr>
            <w:noProof/>
            <w:webHidden/>
          </w:rPr>
          <w:tab/>
        </w:r>
        <w:r w:rsidR="000C6BD4">
          <w:rPr>
            <w:noProof/>
            <w:webHidden/>
          </w:rPr>
          <w:fldChar w:fldCharType="begin"/>
        </w:r>
        <w:r w:rsidR="000C6BD4">
          <w:rPr>
            <w:noProof/>
            <w:webHidden/>
          </w:rPr>
          <w:instrText xml:space="preserve"> PAGEREF _Toc83978798 \h </w:instrText>
        </w:r>
        <w:r w:rsidR="000C6BD4">
          <w:rPr>
            <w:noProof/>
            <w:webHidden/>
          </w:rPr>
        </w:r>
        <w:r w:rsidR="000C6BD4">
          <w:rPr>
            <w:noProof/>
            <w:webHidden/>
          </w:rPr>
          <w:fldChar w:fldCharType="separate"/>
        </w:r>
        <w:r w:rsidR="001221A2">
          <w:rPr>
            <w:noProof/>
            <w:webHidden/>
          </w:rPr>
          <w:t>37</w:t>
        </w:r>
        <w:r w:rsidR="000C6BD4">
          <w:rPr>
            <w:noProof/>
            <w:webHidden/>
          </w:rPr>
          <w:fldChar w:fldCharType="end"/>
        </w:r>
      </w:hyperlink>
    </w:p>
    <w:p w14:paraId="25CF7FE6" w14:textId="65C04A9F" w:rsidR="004614DD" w:rsidRPr="0091228A" w:rsidRDefault="007B7B70" w:rsidP="0074532D">
      <w:pPr>
        <w:rPr>
          <w:rStyle w:val="titlechar"/>
          <w:rFonts w:cs="Arial"/>
          <w:bCs/>
        </w:rPr>
      </w:pPr>
      <w:r w:rsidRPr="0091228A">
        <w:rPr>
          <w:rStyle w:val="titlechar"/>
          <w:rFonts w:cs="Arial"/>
          <w:bCs/>
        </w:rPr>
        <w:fldChar w:fldCharType="end"/>
      </w:r>
    </w:p>
    <w:p w14:paraId="30E5BF02" w14:textId="61922A6D" w:rsidR="00345A61" w:rsidRPr="0091228A" w:rsidRDefault="00345A61" w:rsidP="0074532D">
      <w:pPr>
        <w:rPr>
          <w:rStyle w:val="titlechar"/>
          <w:rFonts w:cs="Arial"/>
          <w:bCs/>
        </w:rPr>
      </w:pPr>
    </w:p>
    <w:p w14:paraId="3F72818C" w14:textId="77777777" w:rsidR="007B7B70" w:rsidRPr="0091228A" w:rsidRDefault="007B7B70" w:rsidP="0074532D">
      <w:pPr>
        <w:rPr>
          <w:rStyle w:val="titlechar"/>
          <w:rFonts w:cs="Arial"/>
          <w:bCs/>
        </w:rPr>
      </w:pPr>
    </w:p>
    <w:p w14:paraId="6EB1BA8C" w14:textId="77777777" w:rsidR="001166C1" w:rsidRDefault="001166C1" w:rsidP="0074532D">
      <w:pPr>
        <w:rPr>
          <w:rStyle w:val="titlechar"/>
          <w:rFonts w:cs="Arial"/>
          <w:b/>
        </w:rPr>
      </w:pPr>
    </w:p>
    <w:p w14:paraId="6322830D" w14:textId="77777777" w:rsidR="001166C1" w:rsidRDefault="001166C1" w:rsidP="0074532D">
      <w:pPr>
        <w:rPr>
          <w:rStyle w:val="titlechar"/>
          <w:rFonts w:cs="Arial"/>
          <w:b/>
        </w:rPr>
      </w:pPr>
    </w:p>
    <w:p w14:paraId="39AD84A5" w14:textId="334E6FC4" w:rsidR="00BC6F91" w:rsidRPr="00C5234C" w:rsidRDefault="00BC6F91" w:rsidP="0074532D">
      <w:pPr>
        <w:rPr>
          <w:rStyle w:val="titlechar"/>
          <w:rFonts w:cs="Arial"/>
          <w:b/>
        </w:rPr>
      </w:pPr>
      <w:r w:rsidRPr="00C5234C">
        <w:rPr>
          <w:rStyle w:val="titlechar"/>
          <w:rFonts w:cs="Arial"/>
          <w:b/>
        </w:rPr>
        <w:t>Popis kratica</w:t>
      </w:r>
    </w:p>
    <w:p w14:paraId="4F297CAC" w14:textId="77777777" w:rsidR="003936BF" w:rsidRPr="0091228A" w:rsidRDefault="003936BF">
      <w:pPr>
        <w:rPr>
          <w:rStyle w:val="titlechar"/>
          <w:rFonts w:cs="Arial"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4C7C9B" w14:paraId="495CA2C4" w14:textId="77777777" w:rsidTr="000C6BD4">
        <w:tc>
          <w:tcPr>
            <w:tcW w:w="1555" w:type="dxa"/>
          </w:tcPr>
          <w:p w14:paraId="4DD33126" w14:textId="77777777" w:rsidR="004C7C9B" w:rsidRDefault="004C7C9B" w:rsidP="006218AD">
            <w:r>
              <w:t>BDV</w:t>
            </w:r>
          </w:p>
        </w:tc>
        <w:tc>
          <w:tcPr>
            <w:tcW w:w="7507" w:type="dxa"/>
          </w:tcPr>
          <w:p w14:paraId="3A116BAD" w14:textId="77777777" w:rsidR="004C7C9B" w:rsidRDefault="004C7C9B" w:rsidP="006218AD">
            <w:r>
              <w:t>bruto dodana vrijednost</w:t>
            </w:r>
          </w:p>
        </w:tc>
      </w:tr>
      <w:tr w:rsidR="004C7C9B" w14:paraId="75DDC021" w14:textId="77777777" w:rsidTr="000C6BD4">
        <w:tc>
          <w:tcPr>
            <w:tcW w:w="1555" w:type="dxa"/>
          </w:tcPr>
          <w:p w14:paraId="01DD07A8" w14:textId="77777777" w:rsidR="004C7C9B" w:rsidRDefault="004C7C9B" w:rsidP="006218AD">
            <w:r>
              <w:t>BPŽ</w:t>
            </w:r>
          </w:p>
        </w:tc>
        <w:tc>
          <w:tcPr>
            <w:tcW w:w="7507" w:type="dxa"/>
          </w:tcPr>
          <w:p w14:paraId="177B7254" w14:textId="77777777" w:rsidR="004C7C9B" w:rsidRDefault="004C7C9B" w:rsidP="006218AD">
            <w:r w:rsidRPr="0091228A">
              <w:t xml:space="preserve">Brodsko-posavska županija </w:t>
            </w:r>
          </w:p>
        </w:tc>
      </w:tr>
      <w:tr w:rsidR="004C7C9B" w14:paraId="6F38CCB6" w14:textId="77777777" w:rsidTr="000C6BD4">
        <w:tc>
          <w:tcPr>
            <w:tcW w:w="1555" w:type="dxa"/>
          </w:tcPr>
          <w:p w14:paraId="5720AAFF" w14:textId="77777777" w:rsidR="004C7C9B" w:rsidRDefault="004C7C9B" w:rsidP="006218AD">
            <w:r>
              <w:t>CTR</w:t>
            </w:r>
          </w:p>
        </w:tc>
        <w:tc>
          <w:tcPr>
            <w:tcW w:w="7507" w:type="dxa"/>
          </w:tcPr>
          <w:p w14:paraId="1B4CDFF7" w14:textId="77777777" w:rsidR="004C7C9B" w:rsidRDefault="004C7C9B" w:rsidP="006218AD">
            <w:r>
              <w:t>Centar za razvoj Brodsko-posavske županije</w:t>
            </w:r>
          </w:p>
        </w:tc>
      </w:tr>
      <w:tr w:rsidR="004C7C9B" w14:paraId="781588A9" w14:textId="77777777" w:rsidTr="000C6BD4">
        <w:tc>
          <w:tcPr>
            <w:tcW w:w="1555" w:type="dxa"/>
          </w:tcPr>
          <w:p w14:paraId="711254FB" w14:textId="77777777" w:rsidR="004C7C9B" w:rsidRDefault="004C7C9B" w:rsidP="006218AD">
            <w:r>
              <w:t>DZS</w:t>
            </w:r>
          </w:p>
        </w:tc>
        <w:tc>
          <w:tcPr>
            <w:tcW w:w="7507" w:type="dxa"/>
          </w:tcPr>
          <w:p w14:paraId="67530C8E" w14:textId="77777777" w:rsidR="004C7C9B" w:rsidRDefault="004C7C9B" w:rsidP="006218AD">
            <w:r>
              <w:t>Državni zavod za statistiku</w:t>
            </w:r>
          </w:p>
        </w:tc>
      </w:tr>
      <w:tr w:rsidR="004C7C9B" w14:paraId="6423D538" w14:textId="77777777" w:rsidTr="000C6BD4">
        <w:tc>
          <w:tcPr>
            <w:tcW w:w="1555" w:type="dxa"/>
          </w:tcPr>
          <w:p w14:paraId="6D28BCDE" w14:textId="77777777" w:rsidR="004C7C9B" w:rsidRDefault="004C7C9B" w:rsidP="006218AD">
            <w:r>
              <w:t>ESIF</w:t>
            </w:r>
          </w:p>
        </w:tc>
        <w:tc>
          <w:tcPr>
            <w:tcW w:w="7507" w:type="dxa"/>
          </w:tcPr>
          <w:p w14:paraId="4EE28C0E" w14:textId="77777777" w:rsidR="004C7C9B" w:rsidRDefault="004C7C9B" w:rsidP="006218AD">
            <w:r>
              <w:t>Europski strukturni i investicijski fondovi</w:t>
            </w:r>
          </w:p>
        </w:tc>
      </w:tr>
      <w:tr w:rsidR="004C7C9B" w14:paraId="02EABF44" w14:textId="77777777" w:rsidTr="000C6BD4">
        <w:tc>
          <w:tcPr>
            <w:tcW w:w="1555" w:type="dxa"/>
          </w:tcPr>
          <w:p w14:paraId="4DB7A0E8" w14:textId="77777777" w:rsidR="004C7C9B" w:rsidRDefault="004C7C9B" w:rsidP="006218AD">
            <w:r>
              <w:t>ITU</w:t>
            </w:r>
          </w:p>
        </w:tc>
        <w:tc>
          <w:tcPr>
            <w:tcW w:w="7507" w:type="dxa"/>
          </w:tcPr>
          <w:p w14:paraId="18A4BCC6" w14:textId="77777777" w:rsidR="004C7C9B" w:rsidRDefault="004C7C9B" w:rsidP="006218AD">
            <w:r>
              <w:t>integrirana teritorijalna ulaganja</w:t>
            </w:r>
          </w:p>
        </w:tc>
      </w:tr>
      <w:tr w:rsidR="004C7C9B" w14:paraId="4B62F15D" w14:textId="77777777" w:rsidTr="000C6BD4">
        <w:tc>
          <w:tcPr>
            <w:tcW w:w="1555" w:type="dxa"/>
          </w:tcPr>
          <w:p w14:paraId="02B84430" w14:textId="77777777" w:rsidR="004C7C9B" w:rsidRDefault="004C7C9B" w:rsidP="006218AD">
            <w:r>
              <w:t>JU</w:t>
            </w:r>
          </w:p>
        </w:tc>
        <w:tc>
          <w:tcPr>
            <w:tcW w:w="7507" w:type="dxa"/>
          </w:tcPr>
          <w:p w14:paraId="721C868E" w14:textId="77777777" w:rsidR="004C7C9B" w:rsidRDefault="004C7C9B" w:rsidP="006218AD">
            <w:r>
              <w:t>javna ustanova</w:t>
            </w:r>
          </w:p>
        </w:tc>
      </w:tr>
      <w:tr w:rsidR="004C7C9B" w14:paraId="49B4377F" w14:textId="77777777" w:rsidTr="000C6BD4">
        <w:tc>
          <w:tcPr>
            <w:tcW w:w="1555" w:type="dxa"/>
          </w:tcPr>
          <w:p w14:paraId="2DD251D5" w14:textId="77777777" w:rsidR="004C7C9B" w:rsidRDefault="004C7C9B" w:rsidP="006218AD">
            <w:r>
              <w:t>LAG</w:t>
            </w:r>
          </w:p>
        </w:tc>
        <w:tc>
          <w:tcPr>
            <w:tcW w:w="7507" w:type="dxa"/>
          </w:tcPr>
          <w:p w14:paraId="789A1212" w14:textId="77777777" w:rsidR="004C7C9B" w:rsidRDefault="004C7C9B" w:rsidP="006218AD">
            <w:r>
              <w:t>lokalna akcijska grupa</w:t>
            </w:r>
          </w:p>
        </w:tc>
      </w:tr>
      <w:tr w:rsidR="004C7C9B" w14:paraId="16295703" w14:textId="77777777" w:rsidTr="000C6BD4">
        <w:tc>
          <w:tcPr>
            <w:tcW w:w="1555" w:type="dxa"/>
          </w:tcPr>
          <w:p w14:paraId="21C1DFD3" w14:textId="77777777" w:rsidR="004C7C9B" w:rsidRDefault="004C7C9B" w:rsidP="006218AD">
            <w:r>
              <w:t>NN</w:t>
            </w:r>
          </w:p>
        </w:tc>
        <w:tc>
          <w:tcPr>
            <w:tcW w:w="7507" w:type="dxa"/>
          </w:tcPr>
          <w:p w14:paraId="25B46F94" w14:textId="77777777" w:rsidR="004C7C9B" w:rsidRDefault="004C7C9B" w:rsidP="006218AD">
            <w:r>
              <w:t>Narodne novine</w:t>
            </w:r>
          </w:p>
        </w:tc>
      </w:tr>
      <w:tr w:rsidR="004C7C9B" w14:paraId="67370EE5" w14:textId="77777777" w:rsidTr="000C6BD4">
        <w:tc>
          <w:tcPr>
            <w:tcW w:w="1555" w:type="dxa"/>
          </w:tcPr>
          <w:p w14:paraId="4AFBC430" w14:textId="77777777" w:rsidR="004C7C9B" w:rsidRDefault="004C7C9B" w:rsidP="006218AD">
            <w:r>
              <w:t>RH</w:t>
            </w:r>
          </w:p>
        </w:tc>
        <w:tc>
          <w:tcPr>
            <w:tcW w:w="7507" w:type="dxa"/>
          </w:tcPr>
          <w:p w14:paraId="37A244D2" w14:textId="77777777" w:rsidR="004C7C9B" w:rsidRDefault="004C7C9B" w:rsidP="006218AD">
            <w:r>
              <w:t>Republika Hrvatska</w:t>
            </w:r>
          </w:p>
        </w:tc>
      </w:tr>
      <w:tr w:rsidR="00D90376" w14:paraId="4CE7874C" w14:textId="77777777" w:rsidTr="000C6BD4">
        <w:tc>
          <w:tcPr>
            <w:tcW w:w="1555" w:type="dxa"/>
          </w:tcPr>
          <w:p w14:paraId="5BE7DD90" w14:textId="3CE08C6D" w:rsidR="00D90376" w:rsidRDefault="00D90376" w:rsidP="006218AD">
            <w:r>
              <w:t xml:space="preserve">SC </w:t>
            </w:r>
          </w:p>
        </w:tc>
        <w:tc>
          <w:tcPr>
            <w:tcW w:w="7507" w:type="dxa"/>
          </w:tcPr>
          <w:p w14:paraId="692BB5BA" w14:textId="1D9D424B" w:rsidR="00D90376" w:rsidRPr="006D7048" w:rsidRDefault="00D90376" w:rsidP="006D7048">
            <w:pPr>
              <w:spacing w:after="0"/>
              <w:rPr>
                <w:rFonts w:eastAsia="Times New Roman" w:cstheme="minorHAnsi"/>
                <w:szCs w:val="24"/>
                <w:lang w:eastAsia="hr-HR"/>
              </w:rPr>
            </w:pPr>
            <w:r>
              <w:rPr>
                <w:rFonts w:eastAsia="Times New Roman" w:cstheme="minorHAnsi"/>
                <w:szCs w:val="24"/>
                <w:lang w:eastAsia="hr-HR"/>
              </w:rPr>
              <w:t xml:space="preserve">Strateški cilj </w:t>
            </w:r>
          </w:p>
        </w:tc>
      </w:tr>
      <w:tr w:rsidR="004C7C9B" w14:paraId="721DC9F7" w14:textId="77777777" w:rsidTr="000C6BD4">
        <w:tc>
          <w:tcPr>
            <w:tcW w:w="1555" w:type="dxa"/>
          </w:tcPr>
          <w:p w14:paraId="46434287" w14:textId="77777777" w:rsidR="004C7C9B" w:rsidRDefault="004C7C9B" w:rsidP="006218AD">
            <w:r>
              <w:t>SWOT</w:t>
            </w:r>
          </w:p>
        </w:tc>
        <w:tc>
          <w:tcPr>
            <w:tcW w:w="7507" w:type="dxa"/>
          </w:tcPr>
          <w:p w14:paraId="1D5C1EFE" w14:textId="62192E13" w:rsidR="004C7C9B" w:rsidRDefault="004C7C9B" w:rsidP="006D7048">
            <w:pPr>
              <w:spacing w:after="0"/>
            </w:pPr>
            <w:r w:rsidRPr="006D7048">
              <w:rPr>
                <w:rFonts w:eastAsia="Times New Roman" w:cstheme="minorHAnsi"/>
                <w:szCs w:val="24"/>
                <w:lang w:eastAsia="hr-HR"/>
              </w:rPr>
              <w:t>engl.</w:t>
            </w:r>
            <w:r w:rsidRPr="007F7AF7">
              <w:rPr>
                <w:rFonts w:eastAsia="Times New Roman" w:cstheme="minorHAnsi"/>
                <w:szCs w:val="24"/>
                <w:lang w:eastAsia="hr-HR"/>
              </w:rPr>
              <w:t xml:space="preserve"> </w:t>
            </w:r>
            <w:r w:rsidRPr="007F7AF7">
              <w:rPr>
                <w:rFonts w:eastAsia="Times New Roman" w:cstheme="minorHAnsi"/>
                <w:b/>
                <w:bCs/>
                <w:i/>
                <w:iCs/>
                <w:szCs w:val="24"/>
                <w:lang w:eastAsia="hr-HR"/>
              </w:rPr>
              <w:t>S</w:t>
            </w:r>
            <w:r w:rsidRPr="007F7AF7">
              <w:rPr>
                <w:rFonts w:eastAsia="Times New Roman" w:cstheme="minorHAnsi"/>
                <w:i/>
                <w:iCs/>
                <w:szCs w:val="24"/>
                <w:lang w:eastAsia="hr-HR"/>
              </w:rPr>
              <w:t>trengths</w:t>
            </w:r>
            <w:r w:rsidRPr="006D7048">
              <w:rPr>
                <w:rFonts w:eastAsia="Times New Roman" w:cstheme="minorHAnsi"/>
                <w:i/>
                <w:iCs/>
                <w:szCs w:val="24"/>
                <w:lang w:eastAsia="hr-HR"/>
              </w:rPr>
              <w:t xml:space="preserve">, </w:t>
            </w:r>
            <w:r w:rsidRPr="007F7AF7">
              <w:rPr>
                <w:rFonts w:eastAsia="Times New Roman" w:cstheme="minorHAnsi"/>
                <w:b/>
                <w:bCs/>
                <w:i/>
                <w:iCs/>
                <w:szCs w:val="24"/>
                <w:lang w:eastAsia="hr-HR"/>
              </w:rPr>
              <w:t>W</w:t>
            </w:r>
            <w:r w:rsidRPr="007F7AF7">
              <w:rPr>
                <w:rFonts w:eastAsia="Times New Roman" w:cstheme="minorHAnsi"/>
                <w:i/>
                <w:iCs/>
                <w:szCs w:val="24"/>
                <w:lang w:eastAsia="hr-HR"/>
              </w:rPr>
              <w:t>eaknesses</w:t>
            </w:r>
            <w:r w:rsidRPr="006D7048">
              <w:rPr>
                <w:rFonts w:eastAsia="Times New Roman" w:cstheme="minorHAnsi"/>
                <w:i/>
                <w:iCs/>
                <w:szCs w:val="24"/>
                <w:lang w:eastAsia="hr-HR"/>
              </w:rPr>
              <w:t xml:space="preserve">, </w:t>
            </w:r>
            <w:r w:rsidRPr="007F7AF7">
              <w:rPr>
                <w:rFonts w:eastAsia="Times New Roman" w:cstheme="minorHAnsi"/>
                <w:b/>
                <w:bCs/>
                <w:i/>
                <w:iCs/>
                <w:szCs w:val="24"/>
                <w:lang w:eastAsia="hr-HR"/>
              </w:rPr>
              <w:t>O</w:t>
            </w:r>
            <w:r w:rsidRPr="007F7AF7">
              <w:rPr>
                <w:rFonts w:eastAsia="Times New Roman" w:cstheme="minorHAnsi"/>
                <w:i/>
                <w:iCs/>
                <w:szCs w:val="24"/>
                <w:lang w:eastAsia="hr-HR"/>
              </w:rPr>
              <w:t>pportunities</w:t>
            </w:r>
            <w:r w:rsidRPr="006D7048">
              <w:rPr>
                <w:rFonts w:eastAsia="Times New Roman" w:cstheme="minorHAnsi"/>
                <w:i/>
                <w:iCs/>
                <w:szCs w:val="24"/>
                <w:lang w:eastAsia="hr-HR"/>
              </w:rPr>
              <w:t xml:space="preserve">, </w:t>
            </w:r>
            <w:r w:rsidRPr="006D7048">
              <w:rPr>
                <w:rFonts w:eastAsia="Times New Roman" w:cstheme="minorHAnsi"/>
                <w:b/>
                <w:bCs/>
                <w:i/>
                <w:iCs/>
                <w:szCs w:val="24"/>
                <w:lang w:eastAsia="hr-HR"/>
              </w:rPr>
              <w:t>T</w:t>
            </w:r>
            <w:r w:rsidRPr="006D7048">
              <w:rPr>
                <w:rFonts w:eastAsia="Times New Roman" w:cstheme="minorHAnsi"/>
                <w:i/>
                <w:iCs/>
                <w:szCs w:val="24"/>
                <w:lang w:eastAsia="hr-HR"/>
              </w:rPr>
              <w:t>hreats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90376" w14:paraId="56A43218" w14:textId="77777777" w:rsidTr="000C6BD4">
        <w:tc>
          <w:tcPr>
            <w:tcW w:w="1555" w:type="dxa"/>
          </w:tcPr>
          <w:p w14:paraId="4BB1DB96" w14:textId="06B7DB33" w:rsidR="00D90376" w:rsidRDefault="00D90376" w:rsidP="006218AD">
            <w:r>
              <w:t xml:space="preserve">PC </w:t>
            </w:r>
          </w:p>
        </w:tc>
        <w:tc>
          <w:tcPr>
            <w:tcW w:w="7507" w:type="dxa"/>
          </w:tcPr>
          <w:p w14:paraId="0141DC11" w14:textId="3E743F29" w:rsidR="00D90376" w:rsidRDefault="00D90376" w:rsidP="006218AD">
            <w:r>
              <w:t xml:space="preserve">Posebni cilj </w:t>
            </w:r>
          </w:p>
        </w:tc>
      </w:tr>
      <w:tr w:rsidR="004C7C9B" w14:paraId="30CE439E" w14:textId="77777777" w:rsidTr="000C6BD4">
        <w:tc>
          <w:tcPr>
            <w:tcW w:w="1555" w:type="dxa"/>
          </w:tcPr>
          <w:p w14:paraId="7BDA04CF" w14:textId="77777777" w:rsidR="004C7C9B" w:rsidRDefault="004C7C9B" w:rsidP="006218AD">
            <w:r>
              <w:t>ŽRS</w:t>
            </w:r>
          </w:p>
        </w:tc>
        <w:tc>
          <w:tcPr>
            <w:tcW w:w="7507" w:type="dxa"/>
          </w:tcPr>
          <w:p w14:paraId="75F7719B" w14:textId="77777777" w:rsidR="004C7C9B" w:rsidRDefault="004C7C9B" w:rsidP="006218AD">
            <w:r>
              <w:t>Županijska razvojna strategija</w:t>
            </w:r>
          </w:p>
        </w:tc>
      </w:tr>
    </w:tbl>
    <w:p w14:paraId="35C60169" w14:textId="77777777" w:rsidR="00B60F8C" w:rsidRPr="0091228A" w:rsidRDefault="00B60F8C" w:rsidP="00B60F8C"/>
    <w:p w14:paraId="0830E86C" w14:textId="77777777" w:rsidR="00B60F8C" w:rsidRPr="0091228A" w:rsidRDefault="00B60F8C" w:rsidP="00B60F8C"/>
    <w:p w14:paraId="58F77367" w14:textId="447D5F8B" w:rsidR="00B06514" w:rsidRPr="0091228A" w:rsidRDefault="00B06514">
      <w:r w:rsidRPr="0091228A">
        <w:br w:type="page"/>
      </w:r>
    </w:p>
    <w:p w14:paraId="28131E7F" w14:textId="77777777" w:rsidR="003419AF" w:rsidRPr="001166C1" w:rsidRDefault="003419AF" w:rsidP="00B06514">
      <w:pPr>
        <w:pStyle w:val="Naslov1"/>
        <w:rPr>
          <w:rStyle w:val="titlechar"/>
          <w:rFonts w:cs="Arial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Toc84938277"/>
      <w:r w:rsidRPr="001166C1">
        <w:rPr>
          <w:rStyle w:val="titlechar"/>
          <w:rFonts w:cs="Arial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UVOD</w:t>
      </w:r>
      <w:bookmarkEnd w:id="0"/>
      <w:r w:rsidRPr="001166C1">
        <w:rPr>
          <w:rStyle w:val="titlechar"/>
          <w:rFonts w:cs="Arial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25056E23" w14:textId="77777777" w:rsidR="000835B5" w:rsidRPr="0091228A" w:rsidRDefault="000835B5" w:rsidP="00B06514">
      <w:pPr>
        <w:jc w:val="both"/>
      </w:pPr>
      <w:r w:rsidRPr="0091228A">
        <w:t xml:space="preserve">Brodsko-posavska županija </w:t>
      </w:r>
      <w:r w:rsidRPr="002E2849">
        <w:t>(BPŽ)</w:t>
      </w:r>
      <w:r w:rsidRPr="0091228A">
        <w:t xml:space="preserve"> smještena je u južnom dijelu slavonske nizine, na prostoru između planine Psunj, Požeškog i Diljskog gorja sa sjevera i rijeke Save s juga, koja je dio državne granice prema Bosni i Hercegovini u dužini od 163 km. </w:t>
      </w:r>
    </w:p>
    <w:p w14:paraId="40AAF537" w14:textId="595C5BEF" w:rsidR="00B2547E" w:rsidRPr="0091228A" w:rsidRDefault="000835B5" w:rsidP="00B06514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 xml:space="preserve">Obuhvaća prostor od 2.034 km2 što čini 3,61  % ukupnog teritorija Republike Hrvatske (56.542 km2) i po veličini je na 14. mjestu među hrvatskim županijama. Jedna je od najužih (7 km) i najdužih županija (117 km zračne dužine), na istoku graniči s Vukovarsko-srijemskom, na </w:t>
      </w:r>
      <w:r w:rsidRPr="0091228A">
        <w:t>sjeveroistoku</w:t>
      </w:r>
      <w:r w:rsidRPr="0091228A">
        <w:rPr>
          <w:rStyle w:val="titlechar"/>
          <w:rFonts w:cs="Arial"/>
        </w:rPr>
        <w:t xml:space="preserve"> s Osječko-baranjskom, na sjeveru s Požeško-slavonskom i na zapadu sa Sisačko-moslavačkom županijom.</w:t>
      </w:r>
    </w:p>
    <w:p w14:paraId="473FB83D" w14:textId="77777777" w:rsidR="000245C2" w:rsidRPr="0091228A" w:rsidRDefault="000245C2" w:rsidP="00B06514">
      <w:pPr>
        <w:jc w:val="both"/>
        <w:rPr>
          <w:rStyle w:val="titlechar"/>
          <w:rFonts w:cs="Arial"/>
        </w:rPr>
      </w:pPr>
    </w:p>
    <w:p w14:paraId="5AEAE701" w14:textId="7BD091FA" w:rsidR="00D506AB" w:rsidRPr="0091228A" w:rsidRDefault="004E1D91" w:rsidP="004E1D91">
      <w:pPr>
        <w:pStyle w:val="Opisslike"/>
      </w:pPr>
      <w:bookmarkStart w:id="1" w:name="_Toc83978785"/>
      <w:r w:rsidRPr="0091228A">
        <w:t xml:space="preserve">Slika </w:t>
      </w:r>
      <w:r w:rsidR="00D922ED">
        <w:rPr>
          <w:noProof/>
        </w:rPr>
        <w:fldChar w:fldCharType="begin"/>
      </w:r>
      <w:r w:rsidR="00D922ED">
        <w:rPr>
          <w:noProof/>
        </w:rPr>
        <w:instrText xml:space="preserve"> SEQ Slika \* ARABIC </w:instrText>
      </w:r>
      <w:r w:rsidR="00D922ED">
        <w:rPr>
          <w:noProof/>
        </w:rPr>
        <w:fldChar w:fldCharType="separate"/>
      </w:r>
      <w:r w:rsidR="00975640">
        <w:rPr>
          <w:noProof/>
        </w:rPr>
        <w:t>1</w:t>
      </w:r>
      <w:r w:rsidR="00D922ED">
        <w:rPr>
          <w:noProof/>
        </w:rPr>
        <w:fldChar w:fldCharType="end"/>
      </w:r>
      <w:r w:rsidR="00D506AB" w:rsidRPr="0091228A">
        <w:rPr>
          <w:iCs/>
        </w:rPr>
        <w:t>. Prostorni obuhvat Brodsko-posavske županije</w:t>
      </w:r>
      <w:bookmarkEnd w:id="1"/>
    </w:p>
    <w:p w14:paraId="2858AAA5" w14:textId="77777777" w:rsidR="00D506AB" w:rsidRPr="0091228A" w:rsidRDefault="00D506AB" w:rsidP="000835B5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  <w:noProof/>
          <w:lang w:eastAsia="hr-HR"/>
        </w:rPr>
        <w:drawing>
          <wp:inline distT="0" distB="0" distL="0" distR="0" wp14:anchorId="49E32EB9" wp14:editId="2B844F44">
            <wp:extent cx="4066540" cy="39382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540" cy="393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669D4" w14:textId="77777777" w:rsidR="00B06514" w:rsidRPr="0091228A" w:rsidRDefault="00B06514" w:rsidP="000835B5">
      <w:pPr>
        <w:jc w:val="both"/>
        <w:rPr>
          <w:rStyle w:val="titlechar"/>
          <w:rFonts w:cs="Arial"/>
        </w:rPr>
      </w:pPr>
    </w:p>
    <w:p w14:paraId="28977D46" w14:textId="51693300" w:rsidR="000835B5" w:rsidRPr="0091228A" w:rsidRDefault="00036BBE" w:rsidP="000835B5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>S</w:t>
      </w:r>
      <w:r w:rsidR="000835B5" w:rsidRPr="0091228A">
        <w:rPr>
          <w:rStyle w:val="titlechar"/>
          <w:rFonts w:cs="Arial"/>
        </w:rPr>
        <w:t xml:space="preserve">redinom 2018. godine Brodsko-posavska županija imala je 140.072 stanovnika, što je stavlja na 11. mjesto s 3,4 % populacije Republike Hrvatske </w:t>
      </w:r>
      <w:r w:rsidR="000835B5" w:rsidRPr="002E2849">
        <w:rPr>
          <w:rStyle w:val="titlechar"/>
          <w:rFonts w:cs="Arial"/>
        </w:rPr>
        <w:t>(RH).</w:t>
      </w:r>
      <w:r w:rsidR="000835B5" w:rsidRPr="0091228A">
        <w:rPr>
          <w:rStyle w:val="titlechar"/>
          <w:rFonts w:cs="Arial"/>
        </w:rPr>
        <w:t xml:space="preserve"> Gustoća naseljenosti za 2018. godinu u Brodsko-posavskoj županiji iznosi 69,0 stan./km2, a na području Republike Hrvatske 72,2 stan./km2. Broj stanovnika u Županiji u razdoblju 2008. - 2018. bilježi smanjenje od 19,33 %, što je znatno lošiji trend nego na razini RH, gdje se bilježi smanjenje broja stanovnika za 5,15  %.</w:t>
      </w:r>
    </w:p>
    <w:p w14:paraId="62290F13" w14:textId="147B8DA5" w:rsidR="000835B5" w:rsidRPr="0091228A" w:rsidRDefault="000835B5" w:rsidP="000835B5">
      <w:pPr>
        <w:jc w:val="both"/>
        <w:rPr>
          <w:rStyle w:val="titlechar"/>
          <w:rFonts w:cs="Arial"/>
        </w:rPr>
      </w:pPr>
      <w:r w:rsidRPr="001166C1">
        <w:rPr>
          <w:rStyle w:val="titlechar"/>
          <w:rFonts w:cs="Arial"/>
          <w:b/>
          <w:bCs/>
        </w:rPr>
        <w:t>Brodsko-posavska županija sastoji se od 2 grada i 26 općina.</w:t>
      </w:r>
      <w:r w:rsidRPr="0091228A">
        <w:rPr>
          <w:rStyle w:val="titlechar"/>
          <w:rFonts w:cs="Arial"/>
        </w:rPr>
        <w:t xml:space="preserve"> Središte Županije je</w:t>
      </w:r>
      <w:r w:rsidR="00036BBE" w:rsidRPr="0091228A">
        <w:rPr>
          <w:rStyle w:val="titlechar"/>
          <w:rFonts w:cs="Arial"/>
        </w:rPr>
        <w:t xml:space="preserve"> g</w:t>
      </w:r>
      <w:r w:rsidRPr="0091228A">
        <w:rPr>
          <w:rStyle w:val="titlechar"/>
          <w:rFonts w:cs="Arial"/>
        </w:rPr>
        <w:t xml:space="preserve">rad Slavonski Brod u kojem živi više od trećine svih stanovnika </w:t>
      </w:r>
      <w:r w:rsidR="00657BD3">
        <w:rPr>
          <w:rStyle w:val="titlechar"/>
          <w:rFonts w:cs="Arial"/>
        </w:rPr>
        <w:t>Ž</w:t>
      </w:r>
      <w:r w:rsidRPr="0091228A">
        <w:rPr>
          <w:rStyle w:val="titlechar"/>
          <w:rFonts w:cs="Arial"/>
        </w:rPr>
        <w:t>upanije i u kojem je koncentrirana većina d</w:t>
      </w:r>
      <w:r w:rsidR="00036BBE" w:rsidRPr="0091228A">
        <w:rPr>
          <w:rStyle w:val="titlechar"/>
          <w:rFonts w:cs="Arial"/>
        </w:rPr>
        <w:t xml:space="preserve">ruštvenog </w:t>
      </w:r>
      <w:r w:rsidRPr="0091228A">
        <w:rPr>
          <w:rStyle w:val="titlechar"/>
          <w:rFonts w:cs="Arial"/>
        </w:rPr>
        <w:t>i gospodarskog života. Drugi grad u Brodsko-posavskoj županiji je Nova Gradiška</w:t>
      </w:r>
      <w:r w:rsidR="00036BBE" w:rsidRPr="0091228A">
        <w:rPr>
          <w:rStyle w:val="titlechar"/>
          <w:rFonts w:cs="Arial"/>
        </w:rPr>
        <w:t xml:space="preserve"> koja je s</w:t>
      </w:r>
      <w:r w:rsidRPr="0091228A">
        <w:rPr>
          <w:rStyle w:val="titlechar"/>
          <w:rFonts w:cs="Arial"/>
        </w:rPr>
        <w:t>redišnje mjest</w:t>
      </w:r>
      <w:r w:rsidR="00036BBE" w:rsidRPr="0091228A">
        <w:rPr>
          <w:rStyle w:val="titlechar"/>
          <w:rFonts w:cs="Arial"/>
        </w:rPr>
        <w:t xml:space="preserve">o zapadnog </w:t>
      </w:r>
      <w:r w:rsidRPr="0091228A">
        <w:rPr>
          <w:rStyle w:val="titlechar"/>
          <w:rFonts w:cs="Arial"/>
        </w:rPr>
        <w:t>dijela županije.</w:t>
      </w:r>
    </w:p>
    <w:p w14:paraId="590B8B03" w14:textId="77777777" w:rsidR="00036BBE" w:rsidRPr="0091228A" w:rsidRDefault="000835B5" w:rsidP="000835B5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>Županija je područje umjerene kontinentalne klime. Voda, šume i plodno tlo, plovna rijeka i europski putni koridori prirodni su uvjeti koji omogućuju razvoj gospodarstva, prometa, trgovine i kulture.</w:t>
      </w:r>
      <w:r w:rsidR="00036BBE" w:rsidRPr="0091228A">
        <w:rPr>
          <w:rStyle w:val="titlechar"/>
          <w:rFonts w:cs="Arial"/>
        </w:rPr>
        <w:t xml:space="preserve"> </w:t>
      </w:r>
    </w:p>
    <w:p w14:paraId="2AE0D0F3" w14:textId="4BF47D96" w:rsidR="00D506AB" w:rsidRPr="0091228A" w:rsidRDefault="000835B5" w:rsidP="000835B5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lastRenderedPageBreak/>
        <w:t xml:space="preserve">Veličina bruto domaćeg proizvoda (BDP) </w:t>
      </w:r>
      <w:r w:rsidR="00657BD3">
        <w:rPr>
          <w:rStyle w:val="titlechar"/>
          <w:rFonts w:cs="Arial"/>
        </w:rPr>
        <w:t>Ž</w:t>
      </w:r>
      <w:r w:rsidRPr="0091228A">
        <w:rPr>
          <w:rStyle w:val="titlechar"/>
          <w:rFonts w:cs="Arial"/>
        </w:rPr>
        <w:t>upanije prilično je mala, čak i u hrvatskim okvirima. Prema podacima D</w:t>
      </w:r>
      <w:r w:rsidR="00B81A0E">
        <w:rPr>
          <w:rStyle w:val="titlechar"/>
          <w:rFonts w:cs="Arial"/>
        </w:rPr>
        <w:t>ržavnog zavoda za statistiku (</w:t>
      </w:r>
      <w:r w:rsidR="00B81A0E" w:rsidRPr="002E2849">
        <w:rPr>
          <w:rStyle w:val="titlechar"/>
          <w:rFonts w:cs="Arial"/>
        </w:rPr>
        <w:t>D</w:t>
      </w:r>
      <w:r w:rsidRPr="002E2849">
        <w:rPr>
          <w:rStyle w:val="titlechar"/>
          <w:rFonts w:cs="Arial"/>
        </w:rPr>
        <w:t>ZS</w:t>
      </w:r>
      <w:r w:rsidR="00D125F8" w:rsidRPr="002E2849">
        <w:rPr>
          <w:rStyle w:val="titlechar"/>
          <w:rFonts w:cs="Arial"/>
        </w:rPr>
        <w:t>)</w:t>
      </w:r>
      <w:r w:rsidRPr="0091228A">
        <w:rPr>
          <w:rStyle w:val="titlechar"/>
          <w:rFonts w:cs="Arial"/>
        </w:rPr>
        <w:t xml:space="preserve"> Brodsko-posavska županija je u 2018. ostvarila svega 2,00 % udjela u ukupnom BDP-u RH</w:t>
      </w:r>
      <w:r w:rsidR="00D506AB" w:rsidRPr="0091228A">
        <w:rPr>
          <w:rStyle w:val="titlechar"/>
          <w:rFonts w:cs="Arial"/>
        </w:rPr>
        <w:t>.</w:t>
      </w:r>
    </w:p>
    <w:p w14:paraId="1FE3176B" w14:textId="7D82BB88" w:rsidR="000835B5" w:rsidRPr="0091228A" w:rsidRDefault="00D506AB" w:rsidP="00D506AB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 xml:space="preserve">Najvažnija gospodarska grana bila </w:t>
      </w:r>
      <w:r w:rsidR="00D125F8">
        <w:rPr>
          <w:rStyle w:val="titlechar"/>
          <w:rFonts w:cs="Arial"/>
        </w:rPr>
        <w:t xml:space="preserve">je </w:t>
      </w:r>
      <w:r w:rsidR="000835B5" w:rsidRPr="0091228A">
        <w:rPr>
          <w:rStyle w:val="titlechar"/>
          <w:rFonts w:cs="Arial"/>
        </w:rPr>
        <w:t xml:space="preserve">prerađivačka industrija s udjelom od 22,8 % u ukupnoj bruto dodanoj </w:t>
      </w:r>
      <w:r w:rsidR="000835B5" w:rsidRPr="002E2849">
        <w:rPr>
          <w:rStyle w:val="titlechar"/>
          <w:rFonts w:cs="Arial"/>
        </w:rPr>
        <w:t>vrijednosti (BDV</w:t>
      </w:r>
      <w:r w:rsidR="000835B5" w:rsidRPr="0091228A">
        <w:rPr>
          <w:rStyle w:val="titlechar"/>
          <w:rFonts w:cs="Arial"/>
        </w:rPr>
        <w:t xml:space="preserve">). </w:t>
      </w:r>
      <w:r w:rsidRPr="0091228A">
        <w:rPr>
          <w:rStyle w:val="titlechar"/>
          <w:rFonts w:cs="Arial"/>
        </w:rPr>
        <w:t xml:space="preserve">Udio poljoprivrede, šumarstva i ribarstva u ukupnom BDV-u županije je u 2018. iznosio 9,6 %, što BPŽ svrstava na osmo mjesto prema visini udjela među županijama. Poljoprivredna gospodarstva Brodsko-posavske županije najvećim dijelom čine obiteljska gospodarstva (95,8 %).  </w:t>
      </w:r>
      <w:r w:rsidR="00036BBE" w:rsidRPr="0091228A">
        <w:rPr>
          <w:rStyle w:val="titlechar"/>
          <w:rFonts w:cs="Arial"/>
        </w:rPr>
        <w:t>O</w:t>
      </w:r>
      <w:r w:rsidRPr="0091228A">
        <w:rPr>
          <w:rStyle w:val="titlechar"/>
          <w:rFonts w:cs="Arial"/>
        </w:rPr>
        <w:t xml:space="preserve">d 2017. </w:t>
      </w:r>
      <w:r w:rsidR="00036BBE" w:rsidRPr="0091228A">
        <w:rPr>
          <w:rStyle w:val="titlechar"/>
          <w:rFonts w:cs="Arial"/>
        </w:rPr>
        <w:t>godine broj obiteljskih poljoprivrednih gospodarstva je u po</w:t>
      </w:r>
      <w:r w:rsidRPr="0091228A">
        <w:rPr>
          <w:rStyle w:val="titlechar"/>
          <w:rFonts w:cs="Arial"/>
        </w:rPr>
        <w:t>rast</w:t>
      </w:r>
      <w:r w:rsidR="00036BBE" w:rsidRPr="0091228A">
        <w:rPr>
          <w:rStyle w:val="titlechar"/>
          <w:rFonts w:cs="Arial"/>
        </w:rPr>
        <w:t>u</w:t>
      </w:r>
      <w:r w:rsidRPr="0091228A">
        <w:rPr>
          <w:rStyle w:val="titlechar"/>
          <w:rFonts w:cs="Arial"/>
        </w:rPr>
        <w:t>, što je u skladu sa sve boljim ukupnim rezultatima u sektoru poljoprivrede.</w:t>
      </w:r>
    </w:p>
    <w:p w14:paraId="14BFEBBA" w14:textId="7C140862" w:rsidR="00D506AB" w:rsidRPr="0091228A" w:rsidRDefault="00D506AB" w:rsidP="00D506AB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 xml:space="preserve">Poduzetnička potporna infrastruktura na području Brodsko-posavske županije </w:t>
      </w:r>
      <w:r w:rsidR="00036BBE" w:rsidRPr="0091228A">
        <w:rPr>
          <w:rStyle w:val="titlechar"/>
          <w:rFonts w:cs="Arial"/>
        </w:rPr>
        <w:t xml:space="preserve">obuhvaća </w:t>
      </w:r>
      <w:r w:rsidRPr="0091228A">
        <w:rPr>
          <w:rStyle w:val="titlechar"/>
          <w:rFonts w:cs="Arial"/>
        </w:rPr>
        <w:t>37 gospodarskih zon</w:t>
      </w:r>
      <w:r w:rsidR="00BC6F91" w:rsidRPr="0091228A">
        <w:rPr>
          <w:rStyle w:val="titlechar"/>
          <w:rFonts w:cs="Arial"/>
        </w:rPr>
        <w:t>a</w:t>
      </w:r>
      <w:r w:rsidRPr="0091228A">
        <w:rPr>
          <w:rStyle w:val="titlechar"/>
          <w:rFonts w:cs="Arial"/>
        </w:rPr>
        <w:t xml:space="preserve"> različite veličine i opremljenosti</w:t>
      </w:r>
      <w:r w:rsidR="00BC6F91" w:rsidRPr="0091228A">
        <w:rPr>
          <w:rStyle w:val="titlechar"/>
          <w:rFonts w:cs="Arial"/>
        </w:rPr>
        <w:t xml:space="preserve"> (15 aktivnih i 22 neaktivne)</w:t>
      </w:r>
      <w:r w:rsidR="00036BBE" w:rsidRPr="0091228A">
        <w:rPr>
          <w:rStyle w:val="titlechar"/>
          <w:rFonts w:cs="Arial"/>
        </w:rPr>
        <w:t xml:space="preserve"> </w:t>
      </w:r>
      <w:r w:rsidR="00D125F8">
        <w:rPr>
          <w:rStyle w:val="titlechar"/>
          <w:rFonts w:cs="Arial"/>
        </w:rPr>
        <w:t>te</w:t>
      </w:r>
      <w:r w:rsidR="00036BBE" w:rsidRPr="0091228A">
        <w:rPr>
          <w:rStyle w:val="titlechar"/>
          <w:rFonts w:cs="Arial"/>
        </w:rPr>
        <w:t xml:space="preserve"> 4 poduzetničke potporne institucije</w:t>
      </w:r>
      <w:r w:rsidRPr="0091228A">
        <w:rPr>
          <w:rStyle w:val="titlechar"/>
          <w:rFonts w:cs="Arial"/>
        </w:rPr>
        <w:t xml:space="preserve">. U većini zona aktivan </w:t>
      </w:r>
      <w:r w:rsidR="00036BBE" w:rsidRPr="0091228A">
        <w:rPr>
          <w:rStyle w:val="titlechar"/>
          <w:rFonts w:cs="Arial"/>
        </w:rPr>
        <w:t xml:space="preserve">je </w:t>
      </w:r>
      <w:r w:rsidRPr="0091228A">
        <w:rPr>
          <w:rStyle w:val="titlechar"/>
          <w:rFonts w:cs="Arial"/>
        </w:rPr>
        <w:t xml:space="preserve">relativno mali broj tvrtki </w:t>
      </w:r>
      <w:r w:rsidR="00036BBE" w:rsidRPr="0091228A">
        <w:rPr>
          <w:rStyle w:val="titlechar"/>
          <w:rFonts w:cs="Arial"/>
        </w:rPr>
        <w:t xml:space="preserve">s </w:t>
      </w:r>
      <w:r w:rsidRPr="0091228A">
        <w:rPr>
          <w:rStyle w:val="titlechar"/>
          <w:rFonts w:cs="Arial"/>
        </w:rPr>
        <w:t>mali</w:t>
      </w:r>
      <w:r w:rsidR="00036BBE" w:rsidRPr="0091228A">
        <w:rPr>
          <w:rStyle w:val="titlechar"/>
          <w:rFonts w:cs="Arial"/>
        </w:rPr>
        <w:t>m</w:t>
      </w:r>
      <w:r w:rsidRPr="0091228A">
        <w:rPr>
          <w:rStyle w:val="titlechar"/>
          <w:rFonts w:cs="Arial"/>
        </w:rPr>
        <w:t xml:space="preserve"> broj</w:t>
      </w:r>
      <w:r w:rsidR="00036BBE" w:rsidRPr="0091228A">
        <w:rPr>
          <w:rStyle w:val="titlechar"/>
          <w:rFonts w:cs="Arial"/>
        </w:rPr>
        <w:t xml:space="preserve">em </w:t>
      </w:r>
      <w:r w:rsidRPr="0091228A">
        <w:rPr>
          <w:rStyle w:val="titlechar"/>
          <w:rFonts w:cs="Arial"/>
        </w:rPr>
        <w:t xml:space="preserve"> radnika.</w:t>
      </w:r>
    </w:p>
    <w:p w14:paraId="528C9CD6" w14:textId="68FEF240" w:rsidR="00036BBE" w:rsidRPr="0091228A" w:rsidRDefault="00E15A85" w:rsidP="00D506AB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 xml:space="preserve">U Prilogu 1. Osnovne analize </w:t>
      </w:r>
      <w:r w:rsidR="00D125F8">
        <w:rPr>
          <w:rStyle w:val="titlechar"/>
          <w:rFonts w:cs="Arial"/>
        </w:rPr>
        <w:t xml:space="preserve">navedene su </w:t>
      </w:r>
      <w:r w:rsidRPr="0091228A">
        <w:rPr>
          <w:rStyle w:val="titlechar"/>
          <w:rFonts w:cs="Arial"/>
        </w:rPr>
        <w:t>d</w:t>
      </w:r>
      <w:r w:rsidR="00036BBE" w:rsidRPr="0091228A">
        <w:rPr>
          <w:rStyle w:val="titlechar"/>
          <w:rFonts w:cs="Arial"/>
        </w:rPr>
        <w:t>etalj</w:t>
      </w:r>
      <w:r w:rsidRPr="0091228A">
        <w:rPr>
          <w:rStyle w:val="titlechar"/>
          <w:rFonts w:cs="Arial"/>
        </w:rPr>
        <w:t>n</w:t>
      </w:r>
      <w:r w:rsidR="00036BBE" w:rsidRPr="0091228A">
        <w:rPr>
          <w:rStyle w:val="titlechar"/>
          <w:rFonts w:cs="Arial"/>
        </w:rPr>
        <w:t>e informacije o društvu</w:t>
      </w:r>
      <w:r w:rsidR="00314531" w:rsidRPr="0091228A">
        <w:rPr>
          <w:rStyle w:val="titlechar"/>
          <w:rFonts w:cs="Arial"/>
        </w:rPr>
        <w:t xml:space="preserve"> (demografija, socijalne usluge, zdravstvo, obrazovanje i znanost, kultura, sport i civilno društvo)</w:t>
      </w:r>
      <w:r w:rsidR="00036BBE" w:rsidRPr="0091228A">
        <w:rPr>
          <w:rStyle w:val="titlechar"/>
          <w:rFonts w:cs="Arial"/>
        </w:rPr>
        <w:t>, gospodarstvu</w:t>
      </w:r>
      <w:r w:rsidR="00314531" w:rsidRPr="0091228A">
        <w:rPr>
          <w:rStyle w:val="titlechar"/>
          <w:rFonts w:cs="Arial"/>
        </w:rPr>
        <w:t xml:space="preserve"> (poslovanje poduzetnika, </w:t>
      </w:r>
      <w:r w:rsidR="00BC6F91" w:rsidRPr="0091228A">
        <w:rPr>
          <w:rStyle w:val="titlechar"/>
          <w:rFonts w:cs="Arial"/>
        </w:rPr>
        <w:t>bruto društveni proizvod (</w:t>
      </w:r>
      <w:r w:rsidR="00314531" w:rsidRPr="0091228A">
        <w:rPr>
          <w:rStyle w:val="titlechar"/>
          <w:rFonts w:cs="Arial"/>
        </w:rPr>
        <w:t>BDP</w:t>
      </w:r>
      <w:r w:rsidR="00BC6F91" w:rsidRPr="0091228A">
        <w:rPr>
          <w:rStyle w:val="titlechar"/>
          <w:rFonts w:cs="Arial"/>
        </w:rPr>
        <w:t>)</w:t>
      </w:r>
      <w:r w:rsidR="00314531" w:rsidRPr="0091228A">
        <w:rPr>
          <w:rStyle w:val="titlechar"/>
          <w:rFonts w:cs="Arial"/>
        </w:rPr>
        <w:t>, tržište rada i glavne gospodarske djelatnosti, poduzetnička infrastruktura)</w:t>
      </w:r>
      <w:r w:rsidR="00036BBE" w:rsidRPr="0091228A">
        <w:rPr>
          <w:rStyle w:val="titlechar"/>
          <w:rFonts w:cs="Arial"/>
        </w:rPr>
        <w:t>, okolišu</w:t>
      </w:r>
      <w:r w:rsidR="00314531" w:rsidRPr="0091228A">
        <w:rPr>
          <w:rStyle w:val="titlechar"/>
          <w:rFonts w:cs="Arial"/>
        </w:rPr>
        <w:t xml:space="preserve"> (onečišćenje tla, zraka, vode, zaštita od poplava, otpad</w:t>
      </w:r>
      <w:r w:rsidR="00657BD3">
        <w:rPr>
          <w:rStyle w:val="titlechar"/>
          <w:rFonts w:cs="Arial"/>
        </w:rPr>
        <w:t>)</w:t>
      </w:r>
      <w:r w:rsidR="00314531" w:rsidRPr="0091228A">
        <w:rPr>
          <w:rStyle w:val="titlechar"/>
          <w:rFonts w:cs="Arial"/>
        </w:rPr>
        <w:t xml:space="preserve">, prirodi, </w:t>
      </w:r>
      <w:r w:rsidR="00036BBE" w:rsidRPr="0091228A">
        <w:rPr>
          <w:rStyle w:val="titlechar"/>
          <w:rFonts w:cs="Arial"/>
        </w:rPr>
        <w:t xml:space="preserve">infrastrukturi </w:t>
      </w:r>
      <w:r w:rsidR="00314531" w:rsidRPr="0091228A">
        <w:rPr>
          <w:rStyle w:val="titlechar"/>
          <w:rFonts w:cs="Arial"/>
        </w:rPr>
        <w:t xml:space="preserve"> (vodna, energetska, prometna) </w:t>
      </w:r>
      <w:r w:rsidRPr="0091228A">
        <w:rPr>
          <w:rStyle w:val="titlechar"/>
          <w:rFonts w:cs="Arial"/>
        </w:rPr>
        <w:t xml:space="preserve">te o </w:t>
      </w:r>
      <w:r w:rsidR="00314531" w:rsidRPr="0091228A">
        <w:rPr>
          <w:rStyle w:val="titlechar"/>
          <w:rFonts w:cs="Arial"/>
        </w:rPr>
        <w:t xml:space="preserve"> upravljanju razvojem </w:t>
      </w:r>
      <w:r w:rsidR="00036BBE" w:rsidRPr="0091228A">
        <w:rPr>
          <w:rStyle w:val="titlechar"/>
          <w:rFonts w:cs="Arial"/>
        </w:rPr>
        <w:t>Brodsko</w:t>
      </w:r>
      <w:r w:rsidR="00657BD3">
        <w:rPr>
          <w:rStyle w:val="titlechar"/>
          <w:rFonts w:cs="Arial"/>
        </w:rPr>
        <w:t>-</w:t>
      </w:r>
      <w:r w:rsidR="00036BBE" w:rsidRPr="0091228A">
        <w:rPr>
          <w:rStyle w:val="titlechar"/>
          <w:rFonts w:cs="Arial"/>
        </w:rPr>
        <w:t>posavske županije</w:t>
      </w:r>
      <w:r w:rsidRPr="0091228A">
        <w:rPr>
          <w:rStyle w:val="titlechar"/>
          <w:rFonts w:cs="Arial"/>
        </w:rPr>
        <w:t>.</w:t>
      </w:r>
    </w:p>
    <w:p w14:paraId="13D4C512" w14:textId="77777777" w:rsidR="00B06514" w:rsidRPr="001166C1" w:rsidRDefault="00B06514" w:rsidP="00D506AB">
      <w:pPr>
        <w:jc w:val="both"/>
        <w:rPr>
          <w:rStyle w:val="titlechar"/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2989F98F" w14:textId="5723C7C1" w:rsidR="00D506AB" w:rsidRPr="001166C1" w:rsidRDefault="00036BBE" w:rsidP="000835B5">
      <w:pPr>
        <w:jc w:val="both"/>
        <w:rPr>
          <w:rStyle w:val="titlechar"/>
          <w:rFonts w:cs="Arial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1166C1">
        <w:rPr>
          <w:rStyle w:val="titlechar"/>
          <w:rFonts w:cs="Arial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Svrha izrade Plana razvoja Brodsko</w:t>
      </w:r>
      <w:r w:rsidR="00806B16" w:rsidRPr="001166C1">
        <w:rPr>
          <w:rStyle w:val="titlechar"/>
          <w:rFonts w:cs="Arial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1166C1">
        <w:rPr>
          <w:rStyle w:val="titlechar"/>
          <w:rFonts w:cs="Arial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posavske županije </w:t>
      </w:r>
    </w:p>
    <w:p w14:paraId="4E2FE49B" w14:textId="56D1B950" w:rsidR="004116B7" w:rsidRPr="0091228A" w:rsidRDefault="001336B6" w:rsidP="000835B5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 xml:space="preserve">Plan razvoja </w:t>
      </w:r>
      <w:r w:rsidR="001A5E0D" w:rsidRPr="0091228A">
        <w:rPr>
          <w:rStyle w:val="titlechar"/>
          <w:rFonts w:cs="Arial"/>
        </w:rPr>
        <w:t>Brodsko-posavske županije</w:t>
      </w:r>
      <w:r w:rsidRPr="0091228A">
        <w:rPr>
          <w:rStyle w:val="titlechar"/>
          <w:rFonts w:cs="Arial"/>
        </w:rPr>
        <w:t xml:space="preserve"> za razdoblje od 2021. do 2027. godine</w:t>
      </w:r>
      <w:r w:rsidR="001A5E0D" w:rsidRPr="0091228A">
        <w:rPr>
          <w:rStyle w:val="titlechar"/>
          <w:rFonts w:cs="Arial"/>
        </w:rPr>
        <w:t xml:space="preserve"> je </w:t>
      </w:r>
      <w:r w:rsidRPr="0091228A">
        <w:rPr>
          <w:rStyle w:val="titlechar"/>
          <w:rFonts w:cs="Arial"/>
        </w:rPr>
        <w:t xml:space="preserve"> srednjoročni akt strateškog planiranja kojim se definira okvir za poticanje razvoja</w:t>
      </w:r>
      <w:r w:rsidR="001A5E0D" w:rsidRPr="0091228A">
        <w:rPr>
          <w:rStyle w:val="titlechar"/>
          <w:rFonts w:cs="Arial"/>
        </w:rPr>
        <w:t xml:space="preserve">. </w:t>
      </w:r>
      <w:r w:rsidR="00806B16" w:rsidRPr="0091228A">
        <w:rPr>
          <w:rStyle w:val="titlechar"/>
          <w:rFonts w:cs="Arial"/>
        </w:rPr>
        <w:t>Plan</w:t>
      </w:r>
      <w:r w:rsidR="004116B7" w:rsidRPr="0091228A">
        <w:rPr>
          <w:rStyle w:val="titlechar"/>
          <w:rFonts w:cs="Arial"/>
        </w:rPr>
        <w:t xml:space="preserve"> ut</w:t>
      </w:r>
      <w:r w:rsidR="00806B16" w:rsidRPr="0091228A">
        <w:rPr>
          <w:rStyle w:val="titlechar"/>
          <w:rFonts w:cs="Arial"/>
        </w:rPr>
        <w:t>vrđuje strateški okvir razvoja Ž</w:t>
      </w:r>
      <w:r w:rsidR="004116B7" w:rsidRPr="0091228A">
        <w:rPr>
          <w:rStyle w:val="titlechar"/>
          <w:rFonts w:cs="Arial"/>
        </w:rPr>
        <w:t>upanije temeljem prethodno izrađene analize ključnih područja razvoja te prepoznatih po</w:t>
      </w:r>
      <w:r w:rsidR="00806B16" w:rsidRPr="0091228A">
        <w:rPr>
          <w:rStyle w:val="titlechar"/>
          <w:rFonts w:cs="Arial"/>
        </w:rPr>
        <w:t xml:space="preserve">tencijala i potreba. Također, Plan sadrži </w:t>
      </w:r>
      <w:r w:rsidR="004116B7" w:rsidRPr="0091228A">
        <w:rPr>
          <w:rStyle w:val="titlechar"/>
          <w:rFonts w:cs="Arial"/>
        </w:rPr>
        <w:t xml:space="preserve">ključne strateške odrednice poput vizije, razvojnih prioriteta,  posebnih ciljeva, mjera i strateških projekata. </w:t>
      </w:r>
    </w:p>
    <w:p w14:paraId="2EABF91D" w14:textId="4D2E1D43" w:rsidR="00314531" w:rsidRPr="0091228A" w:rsidRDefault="001A5E0D" w:rsidP="000835B5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 xml:space="preserve">Plan </w:t>
      </w:r>
      <w:r w:rsidR="00036BBE" w:rsidRPr="0091228A">
        <w:rPr>
          <w:rStyle w:val="titlechar"/>
          <w:rFonts w:cs="Arial"/>
        </w:rPr>
        <w:t xml:space="preserve">razvoja </w:t>
      </w:r>
      <w:r w:rsidRPr="0091228A">
        <w:rPr>
          <w:rStyle w:val="titlechar"/>
          <w:rFonts w:cs="Arial"/>
        </w:rPr>
        <w:t xml:space="preserve">predstavlja okvir za usklađivanje </w:t>
      </w:r>
      <w:r w:rsidR="00DB1FD2" w:rsidRPr="0091228A">
        <w:rPr>
          <w:rStyle w:val="titlechar"/>
          <w:rFonts w:cs="Arial"/>
        </w:rPr>
        <w:t>razvojnih stremljenja u Županiji</w:t>
      </w:r>
      <w:r w:rsidR="00036BBE" w:rsidRPr="0091228A">
        <w:rPr>
          <w:rStyle w:val="titlechar"/>
          <w:rFonts w:cs="Arial"/>
        </w:rPr>
        <w:t xml:space="preserve">, njime se </w:t>
      </w:r>
      <w:r w:rsidRPr="0091228A">
        <w:rPr>
          <w:rStyle w:val="titlechar"/>
          <w:rFonts w:cs="Arial"/>
        </w:rPr>
        <w:t xml:space="preserve">osigurava </w:t>
      </w:r>
      <w:r w:rsidR="001336B6" w:rsidRPr="0091228A">
        <w:rPr>
          <w:rStyle w:val="titlechar"/>
          <w:rFonts w:cs="Arial"/>
        </w:rPr>
        <w:t xml:space="preserve">poveznica između </w:t>
      </w:r>
      <w:r w:rsidR="00DB1FD2" w:rsidRPr="0091228A">
        <w:rPr>
          <w:rStyle w:val="titlechar"/>
          <w:rFonts w:cs="Arial"/>
        </w:rPr>
        <w:t xml:space="preserve">europskih, </w:t>
      </w:r>
      <w:r w:rsidR="001336B6" w:rsidRPr="0091228A">
        <w:rPr>
          <w:rStyle w:val="titlechar"/>
          <w:rFonts w:cs="Arial"/>
        </w:rPr>
        <w:t>nacionalnih i lokalnih razvojnih planova</w:t>
      </w:r>
      <w:r w:rsidR="007E691B" w:rsidRPr="0091228A">
        <w:rPr>
          <w:rStyle w:val="titlechar"/>
          <w:rFonts w:cs="Arial"/>
        </w:rPr>
        <w:t xml:space="preserve">. Na taj način </w:t>
      </w:r>
      <w:r w:rsidR="001336B6" w:rsidRPr="0091228A">
        <w:rPr>
          <w:rStyle w:val="titlechar"/>
          <w:rFonts w:cs="Arial"/>
        </w:rPr>
        <w:t>osigurava</w:t>
      </w:r>
      <w:r w:rsidR="007E691B" w:rsidRPr="0091228A">
        <w:rPr>
          <w:rStyle w:val="titlechar"/>
          <w:rFonts w:cs="Arial"/>
        </w:rPr>
        <w:t xml:space="preserve"> se </w:t>
      </w:r>
      <w:r w:rsidR="001336B6" w:rsidRPr="0091228A">
        <w:rPr>
          <w:rStyle w:val="titlechar"/>
          <w:rFonts w:cs="Arial"/>
        </w:rPr>
        <w:t>usklađenost napora i aktivnosti brojnih a</w:t>
      </w:r>
      <w:r w:rsidR="00806B16" w:rsidRPr="0091228A">
        <w:rPr>
          <w:rStyle w:val="titlechar"/>
          <w:rFonts w:cs="Arial"/>
        </w:rPr>
        <w:t>ktera koji djeluju na prostoru Ž</w:t>
      </w:r>
      <w:r w:rsidR="001336B6" w:rsidRPr="0091228A">
        <w:rPr>
          <w:rStyle w:val="titlechar"/>
          <w:rFonts w:cs="Arial"/>
        </w:rPr>
        <w:t>upanije, a čija je misija doprinositi nje</w:t>
      </w:r>
      <w:r w:rsidR="007B54A7">
        <w:rPr>
          <w:rStyle w:val="titlechar"/>
          <w:rFonts w:cs="Arial"/>
        </w:rPr>
        <w:t>zi</w:t>
      </w:r>
      <w:r w:rsidR="001336B6" w:rsidRPr="0091228A">
        <w:rPr>
          <w:rStyle w:val="titlechar"/>
          <w:rFonts w:cs="Arial"/>
        </w:rPr>
        <w:t xml:space="preserve">nom što uspješnijem razvitku. Hijerarhijska struktura </w:t>
      </w:r>
      <w:r w:rsidR="004116B7" w:rsidRPr="0091228A">
        <w:rPr>
          <w:rStyle w:val="titlechar"/>
          <w:rFonts w:cs="Arial"/>
        </w:rPr>
        <w:t>Plana razvoja Brodsko</w:t>
      </w:r>
      <w:r w:rsidR="00BC6F91" w:rsidRPr="0091228A">
        <w:rPr>
          <w:rStyle w:val="titlechar"/>
          <w:rFonts w:cs="Arial"/>
        </w:rPr>
        <w:t>-</w:t>
      </w:r>
      <w:r w:rsidR="004116B7" w:rsidRPr="0091228A">
        <w:rPr>
          <w:rStyle w:val="titlechar"/>
          <w:rFonts w:cs="Arial"/>
        </w:rPr>
        <w:t>posavske županije t</w:t>
      </w:r>
      <w:r w:rsidR="001336B6" w:rsidRPr="0091228A">
        <w:rPr>
          <w:rStyle w:val="titlechar"/>
          <w:rFonts w:cs="Arial"/>
        </w:rPr>
        <w:t xml:space="preserve">emelji </w:t>
      </w:r>
      <w:r w:rsidR="007B54A7">
        <w:rPr>
          <w:rStyle w:val="titlechar"/>
          <w:rFonts w:cs="Arial"/>
        </w:rPr>
        <w:t xml:space="preserve">se </w:t>
      </w:r>
      <w:r w:rsidR="001336B6" w:rsidRPr="0091228A">
        <w:rPr>
          <w:rStyle w:val="titlechar"/>
          <w:rFonts w:cs="Arial"/>
        </w:rPr>
        <w:t xml:space="preserve">na prioritetima, posebnim ciljevima i mjerama </w:t>
      </w:r>
      <w:r w:rsidR="007B54A7">
        <w:rPr>
          <w:rStyle w:val="titlechar"/>
          <w:rFonts w:cs="Arial"/>
        </w:rPr>
        <w:t>te</w:t>
      </w:r>
      <w:r w:rsidR="004116B7" w:rsidRPr="0091228A">
        <w:rPr>
          <w:rStyle w:val="titlechar"/>
          <w:rFonts w:cs="Arial"/>
        </w:rPr>
        <w:t xml:space="preserve"> </w:t>
      </w:r>
      <w:r w:rsidR="001336B6" w:rsidRPr="0091228A">
        <w:rPr>
          <w:rStyle w:val="titlechar"/>
          <w:rFonts w:cs="Arial"/>
        </w:rPr>
        <w:t xml:space="preserve">osigurava funkcionalnu poveznicu s </w:t>
      </w:r>
      <w:r w:rsidR="00DB1FD2" w:rsidRPr="0091228A">
        <w:rPr>
          <w:rStyle w:val="titlechar"/>
          <w:rFonts w:cs="Arial"/>
        </w:rPr>
        <w:t xml:space="preserve">Nacionalnom razvojnom strategijom </w:t>
      </w:r>
      <w:r w:rsidR="00283BA7">
        <w:rPr>
          <w:rStyle w:val="titlechar"/>
          <w:rFonts w:cs="Arial"/>
        </w:rPr>
        <w:t>(NRS)</w:t>
      </w:r>
      <w:r w:rsidR="006F3311">
        <w:rPr>
          <w:rStyle w:val="titlechar"/>
          <w:rFonts w:cs="Arial"/>
        </w:rPr>
        <w:t xml:space="preserve"> </w:t>
      </w:r>
      <w:r w:rsidR="00DB1FD2" w:rsidRPr="0091228A">
        <w:rPr>
          <w:rStyle w:val="titlechar"/>
          <w:rFonts w:cs="Arial"/>
        </w:rPr>
        <w:t xml:space="preserve">Republike Hrvatske do 2030. godine. </w:t>
      </w:r>
    </w:p>
    <w:p w14:paraId="4B0FF390" w14:textId="7D2580F5" w:rsidR="00B06514" w:rsidRPr="0091228A" w:rsidRDefault="00314531" w:rsidP="000835B5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>R</w:t>
      </w:r>
      <w:r w:rsidR="001336B6" w:rsidRPr="0091228A">
        <w:rPr>
          <w:rStyle w:val="titlechar"/>
          <w:rFonts w:cs="Arial"/>
        </w:rPr>
        <w:t xml:space="preserve">azlika između ovog dokumenta u odnosu na prethodne strategije razvoja </w:t>
      </w:r>
      <w:r w:rsidR="00A36130" w:rsidRPr="0091228A">
        <w:rPr>
          <w:rStyle w:val="titlechar"/>
          <w:rFonts w:cs="Arial"/>
        </w:rPr>
        <w:t xml:space="preserve">Županije </w:t>
      </w:r>
      <w:r w:rsidR="001336B6" w:rsidRPr="0091228A">
        <w:rPr>
          <w:rStyle w:val="titlechar"/>
          <w:rFonts w:cs="Arial"/>
        </w:rPr>
        <w:t xml:space="preserve">jest u većem naglasku na aspekt </w:t>
      </w:r>
      <w:r w:rsidR="004116B7" w:rsidRPr="0091228A">
        <w:rPr>
          <w:rStyle w:val="titlechar"/>
          <w:rFonts w:cs="Arial"/>
        </w:rPr>
        <w:t xml:space="preserve">zelene tranzicije i </w:t>
      </w:r>
      <w:r w:rsidR="001336B6" w:rsidRPr="0091228A">
        <w:rPr>
          <w:rStyle w:val="titlechar"/>
          <w:rFonts w:cs="Arial"/>
        </w:rPr>
        <w:t xml:space="preserve">digitalizacije </w:t>
      </w:r>
      <w:r w:rsidR="004116B7" w:rsidRPr="0091228A">
        <w:rPr>
          <w:rStyle w:val="titlechar"/>
          <w:rFonts w:cs="Arial"/>
        </w:rPr>
        <w:t xml:space="preserve">te doprinosa ostvarivanju ciljeva održivog razvoja. Također, naglasak je na </w:t>
      </w:r>
      <w:r w:rsidR="001336B6" w:rsidRPr="0091228A">
        <w:rPr>
          <w:rStyle w:val="titlechar"/>
          <w:rFonts w:cs="Arial"/>
        </w:rPr>
        <w:t>jačanj</w:t>
      </w:r>
      <w:r w:rsidR="004116B7" w:rsidRPr="0091228A">
        <w:rPr>
          <w:rStyle w:val="titlechar"/>
          <w:rFonts w:cs="Arial"/>
        </w:rPr>
        <w:t>u</w:t>
      </w:r>
      <w:r w:rsidR="001336B6" w:rsidRPr="0091228A">
        <w:rPr>
          <w:rStyle w:val="titlechar"/>
          <w:rFonts w:cs="Arial"/>
        </w:rPr>
        <w:t xml:space="preserve"> sposobnosti djelovanja institucija u pogledu odgovora na krizne situacije. Ove su promjene povezane s ključnim razvojnim ciljevima na </w:t>
      </w:r>
      <w:r w:rsidR="00A36130" w:rsidRPr="0091228A">
        <w:rPr>
          <w:rStyle w:val="titlechar"/>
          <w:rFonts w:cs="Arial"/>
        </w:rPr>
        <w:t xml:space="preserve">razini Europske unije </w:t>
      </w:r>
      <w:r w:rsidR="001336B6" w:rsidRPr="0091228A">
        <w:rPr>
          <w:rStyle w:val="titlechar"/>
          <w:rFonts w:cs="Arial"/>
        </w:rPr>
        <w:t xml:space="preserve">i nacionalnoj razini uključujući i pitanje </w:t>
      </w:r>
      <w:r w:rsidR="00FE1AA7" w:rsidRPr="0091228A">
        <w:rPr>
          <w:rStyle w:val="titlechar"/>
          <w:rFonts w:cs="Arial"/>
        </w:rPr>
        <w:t xml:space="preserve">odgovora u okolnostima </w:t>
      </w:r>
      <w:r w:rsidR="001336B6" w:rsidRPr="0091228A">
        <w:rPr>
          <w:rStyle w:val="titlechar"/>
          <w:rFonts w:cs="Arial"/>
        </w:rPr>
        <w:t xml:space="preserve">kao što je aktualna kriza uzrokovana pandemijom </w:t>
      </w:r>
      <w:r w:rsidR="007B54A7">
        <w:rPr>
          <w:rStyle w:val="titlechar"/>
          <w:rFonts w:cs="Arial"/>
        </w:rPr>
        <w:t xml:space="preserve">bolesti </w:t>
      </w:r>
      <w:r w:rsidR="001336B6" w:rsidRPr="0091228A">
        <w:rPr>
          <w:rStyle w:val="titlechar"/>
          <w:rFonts w:cs="Arial"/>
        </w:rPr>
        <w:t xml:space="preserve">COVID-19.  </w:t>
      </w:r>
    </w:p>
    <w:p w14:paraId="3258E684" w14:textId="6241E0BE" w:rsidR="003858F2" w:rsidRPr="001166C1" w:rsidRDefault="003858F2" w:rsidP="000835B5">
      <w:pPr>
        <w:jc w:val="both"/>
        <w:rPr>
          <w:rStyle w:val="titlechar"/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5A4DDDAD" w14:textId="77777777" w:rsidR="00314531" w:rsidRPr="001166C1" w:rsidRDefault="00314531" w:rsidP="000835B5">
      <w:pPr>
        <w:jc w:val="both"/>
        <w:rPr>
          <w:rStyle w:val="titlechar"/>
          <w:rFonts w:cs="Arial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1166C1">
        <w:rPr>
          <w:rStyle w:val="titlechar"/>
          <w:rFonts w:cs="Arial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Načelo partnerstva</w:t>
      </w:r>
    </w:p>
    <w:p w14:paraId="041714A2" w14:textId="4DC16F47" w:rsidR="005555EA" w:rsidRPr="0091228A" w:rsidRDefault="00314531" w:rsidP="000835B5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>Plan razvoja Brodsko</w:t>
      </w:r>
      <w:r w:rsidR="00BC6F91" w:rsidRPr="0091228A">
        <w:rPr>
          <w:rStyle w:val="titlechar"/>
          <w:rFonts w:cs="Arial"/>
        </w:rPr>
        <w:t>-</w:t>
      </w:r>
      <w:r w:rsidRPr="0091228A">
        <w:rPr>
          <w:rStyle w:val="titlechar"/>
          <w:rFonts w:cs="Arial"/>
        </w:rPr>
        <w:t xml:space="preserve">posavske županije izrađen je </w:t>
      </w:r>
      <w:r w:rsidR="005555EA" w:rsidRPr="0091228A">
        <w:rPr>
          <w:rStyle w:val="titlechar"/>
          <w:rFonts w:cs="Arial"/>
        </w:rPr>
        <w:t>kroz participativn</w:t>
      </w:r>
      <w:r w:rsidR="00FB264B" w:rsidRPr="0091228A">
        <w:rPr>
          <w:rStyle w:val="titlechar"/>
          <w:rFonts w:cs="Arial"/>
        </w:rPr>
        <w:t>i</w:t>
      </w:r>
      <w:r w:rsidR="005555EA" w:rsidRPr="0091228A">
        <w:rPr>
          <w:rStyle w:val="titlechar"/>
          <w:rFonts w:cs="Arial"/>
        </w:rPr>
        <w:t xml:space="preserve"> i partnerski pristup,</w:t>
      </w:r>
      <w:r w:rsidR="00A36130" w:rsidRPr="0091228A">
        <w:rPr>
          <w:rStyle w:val="titlechar"/>
          <w:rFonts w:cs="Arial"/>
        </w:rPr>
        <w:t xml:space="preserve"> </w:t>
      </w:r>
      <w:r w:rsidR="005555EA" w:rsidRPr="0091228A">
        <w:rPr>
          <w:rStyle w:val="titlechar"/>
          <w:rFonts w:cs="Arial"/>
        </w:rPr>
        <w:t xml:space="preserve"> koristeći sve oblike savjetovanja s dionicima razvoja i građanima s područja </w:t>
      </w:r>
      <w:r w:rsidR="00A36130" w:rsidRPr="0091228A">
        <w:rPr>
          <w:rStyle w:val="titlechar"/>
          <w:rFonts w:cs="Arial"/>
        </w:rPr>
        <w:t>Ž</w:t>
      </w:r>
      <w:r w:rsidR="005555EA" w:rsidRPr="0091228A">
        <w:rPr>
          <w:rStyle w:val="titlechar"/>
          <w:rFonts w:cs="Arial"/>
        </w:rPr>
        <w:t xml:space="preserve">upanije, uključujući </w:t>
      </w:r>
      <w:r w:rsidRPr="0091228A">
        <w:rPr>
          <w:rStyle w:val="titlechar"/>
          <w:rFonts w:cs="Arial"/>
        </w:rPr>
        <w:t xml:space="preserve">sastanke i radionice radnih </w:t>
      </w:r>
      <w:r w:rsidR="00BC6F91" w:rsidRPr="0091228A">
        <w:rPr>
          <w:rStyle w:val="titlechar"/>
          <w:rFonts w:cs="Arial"/>
        </w:rPr>
        <w:t>skupina</w:t>
      </w:r>
      <w:r w:rsidRPr="0091228A">
        <w:rPr>
          <w:rStyle w:val="titlechar"/>
          <w:rFonts w:cs="Arial"/>
        </w:rPr>
        <w:t xml:space="preserve">, </w:t>
      </w:r>
      <w:r w:rsidR="005555EA" w:rsidRPr="0091228A">
        <w:rPr>
          <w:rStyle w:val="titlechar"/>
          <w:rFonts w:cs="Arial"/>
        </w:rPr>
        <w:t xml:space="preserve">diskusiju u Partnerskom vijeću i provedbu postupka javnog savjetovanja sa zainteresiranom javnošću. </w:t>
      </w:r>
    </w:p>
    <w:p w14:paraId="21502523" w14:textId="6124ED23" w:rsidR="00314531" w:rsidRPr="0091228A" w:rsidRDefault="00314531" w:rsidP="00314531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 xml:space="preserve">Partnerstvo i participativni pristup doprinijelo je </w:t>
      </w:r>
      <w:r w:rsidR="001336B6" w:rsidRPr="0091228A">
        <w:rPr>
          <w:rStyle w:val="titlechar"/>
          <w:rFonts w:cs="Arial"/>
        </w:rPr>
        <w:t>prepoznavanju zajedničkih razvojnih prioriteta različitih dionika, stvaranju mogućnosti za poticanje i ubrzavanje društveno-gospodarskog razvoja i uspostavi integriranog razvoja uvažavanjem problema i potreba različitih kategorija dionika regionalnog razvoja.</w:t>
      </w:r>
      <w:r w:rsidRPr="0091228A">
        <w:t xml:space="preserve"> </w:t>
      </w:r>
      <w:r w:rsidR="00F258EC">
        <w:rPr>
          <w:rStyle w:val="titlechar"/>
          <w:rFonts w:cs="Arial"/>
        </w:rPr>
        <w:t xml:space="preserve"> Kroz </w:t>
      </w:r>
      <w:r w:rsidRPr="0091228A">
        <w:rPr>
          <w:rStyle w:val="titlechar"/>
          <w:rFonts w:cs="Arial"/>
        </w:rPr>
        <w:t>rad tematskih radnih skupina na samoj izradi dokumenta, radionic</w:t>
      </w:r>
      <w:r w:rsidR="00F258EC">
        <w:rPr>
          <w:rStyle w:val="titlechar"/>
          <w:rFonts w:cs="Arial"/>
        </w:rPr>
        <w:t>e</w:t>
      </w:r>
      <w:r w:rsidRPr="0091228A">
        <w:rPr>
          <w:rStyle w:val="titlechar"/>
          <w:rFonts w:cs="Arial"/>
        </w:rPr>
        <w:t>, proces</w:t>
      </w:r>
      <w:r w:rsidR="00F258EC">
        <w:rPr>
          <w:rStyle w:val="titlechar"/>
          <w:rFonts w:cs="Arial"/>
        </w:rPr>
        <w:t>e</w:t>
      </w:r>
      <w:r w:rsidRPr="0091228A">
        <w:rPr>
          <w:rStyle w:val="titlechar"/>
          <w:rFonts w:cs="Arial"/>
        </w:rPr>
        <w:t xml:space="preserve"> </w:t>
      </w:r>
      <w:r w:rsidRPr="0091228A">
        <w:rPr>
          <w:rStyle w:val="titlechar"/>
          <w:rFonts w:cs="Arial"/>
        </w:rPr>
        <w:lastRenderedPageBreak/>
        <w:t xml:space="preserve">savjetovanja sa članovima Partnerskog vijeća, predstavnicima županijskih općina i gradova te savjetovanja sa zainteresiranom javnošću u proces donošenja Plana razvoja Brodsko posavske županije bilo je uključeno </w:t>
      </w:r>
      <w:r w:rsidR="00BC6F91" w:rsidRPr="0091228A">
        <w:rPr>
          <w:rStyle w:val="titlechar"/>
          <w:rFonts w:cs="Arial"/>
        </w:rPr>
        <w:t>stotinjak</w:t>
      </w:r>
      <w:r w:rsidR="00917731">
        <w:rPr>
          <w:rStyle w:val="titlechar"/>
          <w:rFonts w:cs="Arial"/>
        </w:rPr>
        <w:t xml:space="preserve"> dionika</w:t>
      </w:r>
      <w:r w:rsidR="00FB264B" w:rsidRPr="0091228A">
        <w:rPr>
          <w:rStyle w:val="titlechar"/>
          <w:rFonts w:cs="Arial"/>
        </w:rPr>
        <w:t>.</w:t>
      </w:r>
      <w:r w:rsidR="00917731">
        <w:rPr>
          <w:rStyle w:val="titlechar"/>
          <w:rFonts w:cs="Arial"/>
        </w:rPr>
        <w:t xml:space="preserve"> </w:t>
      </w:r>
      <w:r w:rsidRPr="0091228A">
        <w:rPr>
          <w:rStyle w:val="titlechar"/>
          <w:rFonts w:cs="Arial"/>
        </w:rPr>
        <w:t xml:space="preserve">Tijekom rada na izradi plana razvoja poštovana su </w:t>
      </w:r>
      <w:r w:rsidR="00A36130" w:rsidRPr="0091228A">
        <w:rPr>
          <w:rStyle w:val="titlechar"/>
          <w:rFonts w:cs="Arial"/>
        </w:rPr>
        <w:t xml:space="preserve"> i </w:t>
      </w:r>
      <w:r w:rsidRPr="0091228A">
        <w:rPr>
          <w:rStyle w:val="titlechar"/>
          <w:rFonts w:cs="Arial"/>
        </w:rPr>
        <w:t>n</w:t>
      </w:r>
      <w:r w:rsidR="001336B6" w:rsidRPr="0091228A">
        <w:rPr>
          <w:rStyle w:val="titlechar"/>
          <w:rFonts w:cs="Arial"/>
        </w:rPr>
        <w:t>ačel</w:t>
      </w:r>
      <w:r w:rsidRPr="0091228A">
        <w:rPr>
          <w:rStyle w:val="titlechar"/>
          <w:rFonts w:cs="Arial"/>
        </w:rPr>
        <w:t xml:space="preserve">a </w:t>
      </w:r>
      <w:r w:rsidR="00C442A5" w:rsidRPr="0091228A">
        <w:rPr>
          <w:rStyle w:val="titlechar"/>
          <w:rFonts w:cs="Arial"/>
        </w:rPr>
        <w:t xml:space="preserve">točnosti i cjelovitosti, učinkovitosti i djelotvornosti, odgovornosti i usmjerenosti na rezultat,  </w:t>
      </w:r>
      <w:r w:rsidRPr="0091228A">
        <w:rPr>
          <w:rStyle w:val="titlechar"/>
          <w:rFonts w:cs="Arial"/>
        </w:rPr>
        <w:t>transparentnosti,</w:t>
      </w:r>
      <w:r w:rsidR="00C442A5" w:rsidRPr="0091228A">
        <w:t xml:space="preserve"> </w:t>
      </w:r>
      <w:r w:rsidR="00C442A5" w:rsidRPr="0091228A">
        <w:rPr>
          <w:rStyle w:val="titlechar"/>
          <w:rFonts w:cs="Arial"/>
        </w:rPr>
        <w:t xml:space="preserve">održivosti te participativnosti. </w:t>
      </w:r>
    </w:p>
    <w:p w14:paraId="69440E48" w14:textId="77777777" w:rsidR="00B06514" w:rsidRPr="001166C1" w:rsidRDefault="00B06514" w:rsidP="00314531">
      <w:pPr>
        <w:jc w:val="both"/>
        <w:rPr>
          <w:rStyle w:val="titlechar"/>
          <w:rFonts w:cs="Arial"/>
        </w:rPr>
      </w:pPr>
    </w:p>
    <w:p w14:paraId="0B750170" w14:textId="77CAB149" w:rsidR="00FB264B" w:rsidRPr="001166C1" w:rsidRDefault="003419AF" w:rsidP="000835B5">
      <w:pPr>
        <w:jc w:val="both"/>
        <w:rPr>
          <w:rStyle w:val="titlechar"/>
          <w:rFonts w:cs="Arial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1166C1">
        <w:rPr>
          <w:rStyle w:val="titlechar"/>
          <w:rFonts w:cs="Arial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Intervencijska logika </w:t>
      </w:r>
    </w:p>
    <w:p w14:paraId="75FCA438" w14:textId="69FB2735" w:rsidR="00D80492" w:rsidRPr="0091228A" w:rsidRDefault="00FB264B" w:rsidP="000835B5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>Plan razvoja Brodsko</w:t>
      </w:r>
      <w:r w:rsidR="00BC6F91" w:rsidRPr="0091228A">
        <w:rPr>
          <w:rStyle w:val="titlechar"/>
          <w:rFonts w:cs="Arial"/>
        </w:rPr>
        <w:t>-</w:t>
      </w:r>
      <w:r w:rsidRPr="0091228A">
        <w:rPr>
          <w:rStyle w:val="titlechar"/>
          <w:rFonts w:cs="Arial"/>
        </w:rPr>
        <w:t xml:space="preserve">posavske županije usklađen je sa </w:t>
      </w:r>
      <w:r w:rsidR="005555EA" w:rsidRPr="0091228A">
        <w:rPr>
          <w:rStyle w:val="titlechar"/>
          <w:rFonts w:cs="Arial"/>
        </w:rPr>
        <w:t>zakonodavnim i strateškim okvirom</w:t>
      </w:r>
      <w:r w:rsidR="00A36130" w:rsidRPr="0091228A">
        <w:rPr>
          <w:rStyle w:val="titlechar"/>
          <w:rFonts w:cs="Arial"/>
        </w:rPr>
        <w:t xml:space="preserve"> na razini Republike Hrvatske</w:t>
      </w:r>
      <w:r w:rsidR="0033102D" w:rsidRPr="0091228A">
        <w:rPr>
          <w:rStyle w:val="titlechar"/>
          <w:rFonts w:cs="Arial"/>
        </w:rPr>
        <w:t>.</w:t>
      </w:r>
      <w:r w:rsidR="005555EA" w:rsidRPr="0091228A">
        <w:rPr>
          <w:rStyle w:val="titlechar"/>
          <w:rFonts w:cs="Arial"/>
        </w:rPr>
        <w:t xml:space="preserve"> Planovi razvoja zamjenjuju županijske razvojne strategije koje su se donosile u prethodnom razdoblju temeljem Zakona o regionalnom razvoju RH (</w:t>
      </w:r>
      <w:r w:rsidR="00BC6F91" w:rsidRPr="002E2849">
        <w:rPr>
          <w:rStyle w:val="titlechar"/>
          <w:rFonts w:cs="Arial"/>
        </w:rPr>
        <w:t>NN</w:t>
      </w:r>
      <w:r w:rsidR="005555EA" w:rsidRPr="0091228A">
        <w:rPr>
          <w:rStyle w:val="titlechar"/>
          <w:rFonts w:cs="Arial"/>
        </w:rPr>
        <w:t xml:space="preserve"> broj 159/09) i pripadajućih po</w:t>
      </w:r>
      <w:r w:rsidR="00C8161E" w:rsidRPr="0091228A">
        <w:rPr>
          <w:rStyle w:val="titlechar"/>
          <w:rFonts w:cs="Arial"/>
        </w:rPr>
        <w:t>d</w:t>
      </w:r>
      <w:r w:rsidR="005555EA" w:rsidRPr="0091228A">
        <w:rPr>
          <w:rStyle w:val="titlechar"/>
          <w:rFonts w:cs="Arial"/>
        </w:rPr>
        <w:t xml:space="preserve">zakonskih akata te Strategije regionalnog razvoja Republike Hrvatske </w:t>
      </w:r>
      <w:r w:rsidR="0053023B">
        <w:rPr>
          <w:rStyle w:val="titlechar"/>
          <w:rFonts w:cs="Arial"/>
        </w:rPr>
        <w:t xml:space="preserve">do </w:t>
      </w:r>
      <w:r w:rsidR="005555EA" w:rsidRPr="0091228A">
        <w:rPr>
          <w:rStyle w:val="titlechar"/>
          <w:rFonts w:cs="Arial"/>
        </w:rPr>
        <w:t>2</w:t>
      </w:r>
      <w:r w:rsidR="0053023B">
        <w:rPr>
          <w:rStyle w:val="titlechar"/>
          <w:rFonts w:cs="Arial"/>
        </w:rPr>
        <w:t>02</w:t>
      </w:r>
      <w:r w:rsidR="005555EA" w:rsidRPr="0091228A">
        <w:rPr>
          <w:rStyle w:val="titlechar"/>
          <w:rFonts w:cs="Arial"/>
        </w:rPr>
        <w:t>0</w:t>
      </w:r>
      <w:r w:rsidR="0053023B">
        <w:rPr>
          <w:rStyle w:val="titlechar"/>
          <w:rFonts w:cs="Arial"/>
        </w:rPr>
        <w:t>.</w:t>
      </w:r>
      <w:r w:rsidR="005555EA" w:rsidRPr="0091228A">
        <w:rPr>
          <w:rStyle w:val="titlechar"/>
          <w:rFonts w:cs="Arial"/>
        </w:rPr>
        <w:t xml:space="preserve"> godine.</w:t>
      </w:r>
    </w:p>
    <w:p w14:paraId="20E57EFE" w14:textId="0B819FD4" w:rsidR="00D80492" w:rsidRPr="0091228A" w:rsidRDefault="00FB264B" w:rsidP="000835B5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>Također, osigurana je u</w:t>
      </w:r>
      <w:r w:rsidR="00D80492" w:rsidRPr="0091228A">
        <w:rPr>
          <w:rStyle w:val="titlechar"/>
          <w:rFonts w:cs="Arial"/>
        </w:rPr>
        <w:t>sklađenost s Nacionalnom razvojnom strategijom Republike Hrvatske do 2030. godine (</w:t>
      </w:r>
      <w:r w:rsidR="00A36130" w:rsidRPr="0091228A">
        <w:rPr>
          <w:rStyle w:val="titlechar"/>
          <w:rFonts w:cs="Arial"/>
        </w:rPr>
        <w:t>NN</w:t>
      </w:r>
      <w:r w:rsidRPr="0091228A">
        <w:rPr>
          <w:rStyle w:val="titlechar"/>
          <w:rFonts w:cs="Arial"/>
        </w:rPr>
        <w:t xml:space="preserve"> broj 13/21</w:t>
      </w:r>
      <w:r w:rsidR="00D80492" w:rsidRPr="0091228A">
        <w:rPr>
          <w:rStyle w:val="titlechar"/>
          <w:rFonts w:cs="Arial"/>
        </w:rPr>
        <w:t xml:space="preserve">) </w:t>
      </w:r>
      <w:r w:rsidRPr="0091228A">
        <w:rPr>
          <w:rStyle w:val="titlechar"/>
          <w:rFonts w:cs="Arial"/>
        </w:rPr>
        <w:t xml:space="preserve">koja je </w:t>
      </w:r>
      <w:r w:rsidR="00D80492" w:rsidRPr="0091228A">
        <w:rPr>
          <w:rStyle w:val="titlechar"/>
          <w:rFonts w:cs="Arial"/>
        </w:rPr>
        <w:t>krovni dokument i hijerarhijski najviši akt strateškog planiranja</w:t>
      </w:r>
      <w:r w:rsidR="00FF7453">
        <w:rPr>
          <w:rStyle w:val="titlechar"/>
          <w:rFonts w:cs="Arial"/>
        </w:rPr>
        <w:t>,</w:t>
      </w:r>
      <w:r w:rsidR="00D80492" w:rsidRPr="0091228A">
        <w:rPr>
          <w:rStyle w:val="titlechar"/>
          <w:rFonts w:cs="Arial"/>
        </w:rPr>
        <w:t xml:space="preserve"> </w:t>
      </w:r>
      <w:r w:rsidR="00FF7453">
        <w:rPr>
          <w:rStyle w:val="titlechar"/>
          <w:rFonts w:cs="Arial"/>
        </w:rPr>
        <w:t>a</w:t>
      </w:r>
      <w:r w:rsidR="00A36130" w:rsidRPr="0091228A">
        <w:rPr>
          <w:rStyle w:val="titlechar"/>
          <w:rFonts w:cs="Arial"/>
        </w:rPr>
        <w:t xml:space="preserve"> </w:t>
      </w:r>
      <w:r w:rsidR="00D80492" w:rsidRPr="0091228A">
        <w:rPr>
          <w:rStyle w:val="titlechar"/>
          <w:rFonts w:cs="Arial"/>
        </w:rPr>
        <w:t>kojim se dugoročno usmjerava razvoj društva i gospodarstva u svim važnim pitanjima za</w:t>
      </w:r>
      <w:r w:rsidR="007575C4" w:rsidRPr="0091228A">
        <w:rPr>
          <w:rStyle w:val="titlechar"/>
          <w:rFonts w:cs="Arial"/>
        </w:rPr>
        <w:t xml:space="preserve"> Republiku </w:t>
      </w:r>
      <w:r w:rsidR="00D80492" w:rsidRPr="0091228A">
        <w:rPr>
          <w:rStyle w:val="titlechar"/>
          <w:rFonts w:cs="Arial"/>
        </w:rPr>
        <w:t xml:space="preserve">Hrvatsku. </w:t>
      </w:r>
    </w:p>
    <w:p w14:paraId="1F458D0C" w14:textId="7A85E055" w:rsidR="00D80492" w:rsidRPr="0091228A" w:rsidRDefault="00A36130" w:rsidP="000835B5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>Plan razvoja BPŽ</w:t>
      </w:r>
      <w:r w:rsidR="00FF7453">
        <w:rPr>
          <w:rStyle w:val="titlechar"/>
          <w:rFonts w:cs="Arial"/>
        </w:rPr>
        <w:t>-a</w:t>
      </w:r>
      <w:r w:rsidRPr="0091228A">
        <w:rPr>
          <w:rStyle w:val="titlechar"/>
          <w:rFonts w:cs="Arial"/>
        </w:rPr>
        <w:t xml:space="preserve"> usklađen je </w:t>
      </w:r>
      <w:r w:rsidR="00FF7453">
        <w:rPr>
          <w:rStyle w:val="titlechar"/>
          <w:rFonts w:cs="Arial"/>
        </w:rPr>
        <w:t xml:space="preserve">s </w:t>
      </w:r>
      <w:r w:rsidRPr="0091228A">
        <w:rPr>
          <w:rStyle w:val="titlechar"/>
          <w:rFonts w:cs="Arial"/>
        </w:rPr>
        <w:t xml:space="preserve">Nacionalnom razvojnom strategijom </w:t>
      </w:r>
      <w:r w:rsidR="0015525C" w:rsidRPr="0091228A">
        <w:rPr>
          <w:rStyle w:val="titlechar"/>
          <w:rFonts w:cs="Arial"/>
        </w:rPr>
        <w:t xml:space="preserve">kroz sva </w:t>
      </w:r>
      <w:r w:rsidR="00D80492" w:rsidRPr="0091228A">
        <w:rPr>
          <w:rStyle w:val="titlechar"/>
          <w:rFonts w:cs="Arial"/>
        </w:rPr>
        <w:t>četiri razvojna smjera</w:t>
      </w:r>
      <w:r w:rsidR="00FF7453">
        <w:rPr>
          <w:rStyle w:val="titlechar"/>
          <w:rFonts w:cs="Arial"/>
        </w:rPr>
        <w:t xml:space="preserve"> koja čine</w:t>
      </w:r>
      <w:r w:rsidR="00D80492" w:rsidRPr="0091228A">
        <w:rPr>
          <w:rStyle w:val="titlechar"/>
          <w:rFonts w:cs="Arial"/>
        </w:rPr>
        <w:t xml:space="preserve">: (1) Održivo gospodarstvo i društvo; (2) Jačanje otpornosti na krize; (3) Zelena i digitalna tranzicija i (4) Ravnomjeran regionalni razvoj. </w:t>
      </w:r>
    </w:p>
    <w:p w14:paraId="347AA7D0" w14:textId="003F9B49" w:rsidR="00D80492" w:rsidRPr="0091228A" w:rsidRDefault="003858F2" w:rsidP="000835B5">
      <w:pPr>
        <w:jc w:val="both"/>
        <w:rPr>
          <w:rStyle w:val="titlechar"/>
          <w:rFonts w:cs="Arial"/>
        </w:rPr>
      </w:pPr>
      <w:r w:rsidRPr="0091228A">
        <w:rPr>
          <w:rStyle w:val="titlechar"/>
          <w:rFonts w:cs="Arial"/>
        </w:rPr>
        <w:t>P</w:t>
      </w:r>
      <w:r w:rsidR="00D80492" w:rsidRPr="0091228A">
        <w:rPr>
          <w:rStyle w:val="titlechar"/>
          <w:rFonts w:cs="Arial"/>
        </w:rPr>
        <w:t>lanirani s</w:t>
      </w:r>
      <w:r w:rsidRPr="0091228A">
        <w:rPr>
          <w:rStyle w:val="titlechar"/>
          <w:rFonts w:cs="Arial"/>
        </w:rPr>
        <w:t xml:space="preserve">trateški projekti predviđeni </w:t>
      </w:r>
      <w:r w:rsidR="00D80492" w:rsidRPr="0091228A">
        <w:rPr>
          <w:rStyle w:val="titlechar"/>
          <w:rFonts w:cs="Arial"/>
        </w:rPr>
        <w:t xml:space="preserve">Planom razvoja </w:t>
      </w:r>
      <w:r w:rsidR="005555EA" w:rsidRPr="0091228A">
        <w:rPr>
          <w:rStyle w:val="titlechar"/>
          <w:rFonts w:cs="Arial"/>
        </w:rPr>
        <w:t>B</w:t>
      </w:r>
      <w:r w:rsidR="00A36130" w:rsidRPr="0091228A">
        <w:rPr>
          <w:rStyle w:val="titlechar"/>
          <w:rFonts w:cs="Arial"/>
        </w:rPr>
        <w:t>rodsko</w:t>
      </w:r>
      <w:r w:rsidR="0059096B" w:rsidRPr="0091228A">
        <w:rPr>
          <w:rStyle w:val="titlechar"/>
          <w:rFonts w:cs="Arial"/>
        </w:rPr>
        <w:t>-</w:t>
      </w:r>
      <w:r w:rsidR="00A36130" w:rsidRPr="0091228A">
        <w:rPr>
          <w:rStyle w:val="titlechar"/>
          <w:rFonts w:cs="Arial"/>
        </w:rPr>
        <w:t xml:space="preserve">posavske županije </w:t>
      </w:r>
      <w:r w:rsidR="005555EA" w:rsidRPr="0091228A">
        <w:rPr>
          <w:rStyle w:val="titlechar"/>
          <w:rFonts w:cs="Arial"/>
        </w:rPr>
        <w:t xml:space="preserve"> </w:t>
      </w:r>
      <w:r w:rsidR="00D80492" w:rsidRPr="0091228A">
        <w:rPr>
          <w:rStyle w:val="titlechar"/>
          <w:rFonts w:cs="Arial"/>
        </w:rPr>
        <w:t>usklađeni s</w:t>
      </w:r>
      <w:r w:rsidRPr="0091228A">
        <w:rPr>
          <w:rStyle w:val="titlechar"/>
          <w:rFonts w:cs="Arial"/>
        </w:rPr>
        <w:t xml:space="preserve">u s </w:t>
      </w:r>
      <w:r w:rsidR="00D80492" w:rsidRPr="0091228A">
        <w:rPr>
          <w:rStyle w:val="titlechar"/>
          <w:rFonts w:cs="Arial"/>
        </w:rPr>
        <w:t xml:space="preserve"> dokumentima prostornog uređenja, s Nacionalnim planom oporavka i otpornosti, ostalim programskim dokumentima za financijsko razdoblje Europske unije 2021.-</w:t>
      </w:r>
      <w:r w:rsidR="00FF7453">
        <w:rPr>
          <w:rStyle w:val="titlechar"/>
          <w:rFonts w:cs="Arial"/>
        </w:rPr>
        <w:t xml:space="preserve"> </w:t>
      </w:r>
      <w:r w:rsidR="00D80492" w:rsidRPr="0091228A">
        <w:rPr>
          <w:rStyle w:val="titlechar"/>
          <w:rFonts w:cs="Arial"/>
        </w:rPr>
        <w:t>2027. te s Teritorijalnom strategijom Panonske Hrvatske</w:t>
      </w:r>
      <w:r w:rsidR="00A36130" w:rsidRPr="0091228A">
        <w:rPr>
          <w:rStyle w:val="titlechar"/>
          <w:rFonts w:cs="Arial"/>
        </w:rPr>
        <w:t xml:space="preserve"> i  </w:t>
      </w:r>
      <w:r w:rsidR="00D80492" w:rsidRPr="0091228A">
        <w:rPr>
          <w:rStyle w:val="titlechar"/>
          <w:rFonts w:cs="Arial"/>
        </w:rPr>
        <w:t xml:space="preserve">Planom </w:t>
      </w:r>
      <w:r w:rsidR="007575C4" w:rsidRPr="0091228A">
        <w:rPr>
          <w:rStyle w:val="titlechar"/>
          <w:rFonts w:cs="Arial"/>
        </w:rPr>
        <w:t xml:space="preserve">za </w:t>
      </w:r>
      <w:r w:rsidR="00D80492" w:rsidRPr="0091228A">
        <w:rPr>
          <w:rStyle w:val="titlechar"/>
          <w:rFonts w:cs="Arial"/>
        </w:rPr>
        <w:t>industrijsk</w:t>
      </w:r>
      <w:r w:rsidR="007575C4" w:rsidRPr="0091228A">
        <w:rPr>
          <w:rStyle w:val="titlechar"/>
          <w:rFonts w:cs="Arial"/>
        </w:rPr>
        <w:t>u</w:t>
      </w:r>
      <w:r w:rsidR="00D80492" w:rsidRPr="0091228A">
        <w:rPr>
          <w:rStyle w:val="titlechar"/>
          <w:rFonts w:cs="Arial"/>
        </w:rPr>
        <w:t xml:space="preserve"> tranzicij</w:t>
      </w:r>
      <w:r w:rsidR="007575C4" w:rsidRPr="0091228A">
        <w:rPr>
          <w:rStyle w:val="titlechar"/>
          <w:rFonts w:cs="Arial"/>
        </w:rPr>
        <w:t>u</w:t>
      </w:r>
      <w:r w:rsidR="00D80492" w:rsidRPr="0091228A">
        <w:rPr>
          <w:rStyle w:val="titlechar"/>
          <w:rFonts w:cs="Arial"/>
        </w:rPr>
        <w:t xml:space="preserve"> Panonske Hrvatske. </w:t>
      </w:r>
    </w:p>
    <w:p w14:paraId="545C919D" w14:textId="77777777" w:rsidR="00A87054" w:rsidRPr="0091228A" w:rsidRDefault="00A87054" w:rsidP="000835B5">
      <w:pPr>
        <w:jc w:val="both"/>
        <w:rPr>
          <w:rStyle w:val="titlechar"/>
          <w:rFonts w:cs="Arial"/>
        </w:rPr>
      </w:pPr>
    </w:p>
    <w:p w14:paraId="33F8FBA4" w14:textId="53EE85E6" w:rsidR="00D00B03" w:rsidRPr="0091228A" w:rsidRDefault="002D58B6" w:rsidP="002D58B6">
      <w:pPr>
        <w:pStyle w:val="Opisslike"/>
      </w:pPr>
      <w:bookmarkStart w:id="2" w:name="_Toc83978793"/>
      <w:r w:rsidRPr="0091228A">
        <w:t xml:space="preserve">Tablica </w:t>
      </w:r>
      <w:r w:rsidR="00D922ED">
        <w:rPr>
          <w:noProof/>
        </w:rPr>
        <w:fldChar w:fldCharType="begin"/>
      </w:r>
      <w:r w:rsidR="00D922ED">
        <w:rPr>
          <w:noProof/>
        </w:rPr>
        <w:instrText xml:space="preserve"> SEQ Tablica \* ARABIC </w:instrText>
      </w:r>
      <w:r w:rsidR="00D922ED">
        <w:rPr>
          <w:noProof/>
        </w:rPr>
        <w:fldChar w:fldCharType="separate"/>
      </w:r>
      <w:r w:rsidR="00975640">
        <w:rPr>
          <w:noProof/>
        </w:rPr>
        <w:t>1</w:t>
      </w:r>
      <w:r w:rsidR="00D922ED">
        <w:rPr>
          <w:noProof/>
        </w:rPr>
        <w:fldChar w:fldCharType="end"/>
      </w:r>
      <w:r w:rsidRPr="0091228A">
        <w:t>.</w:t>
      </w:r>
      <w:r w:rsidR="00D00B03" w:rsidRPr="0091228A">
        <w:t xml:space="preserve"> Usklađenost prioriteta i posebnih ciljeva Plana razvoja BPŽ</w:t>
      </w:r>
      <w:r w:rsidR="009800CB">
        <w:t>-a</w:t>
      </w:r>
      <w:r w:rsidR="00D00B03" w:rsidRPr="0091228A">
        <w:t xml:space="preserve"> do 2027. godine sa strateškim ciljevima</w:t>
      </w:r>
      <w:r w:rsidR="006F3311">
        <w:t xml:space="preserve"> </w:t>
      </w:r>
      <w:r w:rsidR="00DC3900">
        <w:t>(SC)</w:t>
      </w:r>
      <w:r w:rsidR="00D00B03" w:rsidRPr="0091228A">
        <w:t xml:space="preserve"> Nacionalne razvojne strategije do 2030. godine</w:t>
      </w:r>
      <w:bookmarkEnd w:id="2"/>
      <w:r w:rsidR="00D00B03" w:rsidRPr="0091228A">
        <w:t xml:space="preserve"> </w:t>
      </w:r>
    </w:p>
    <w:tbl>
      <w:tblPr>
        <w:tblW w:w="5006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5"/>
        <w:gridCol w:w="3313"/>
        <w:gridCol w:w="4105"/>
      </w:tblGrid>
      <w:tr w:rsidR="00D00B03" w:rsidRPr="0091228A" w14:paraId="61E3BC58" w14:textId="77777777" w:rsidTr="0070206F">
        <w:tc>
          <w:tcPr>
            <w:tcW w:w="912" w:type="pct"/>
            <w:shd w:val="clear" w:color="auto" w:fill="BFBFBF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71DA82CA" w14:textId="10DD1379" w:rsidR="00D00B03" w:rsidRPr="0091228A" w:rsidRDefault="00D00B03" w:rsidP="00A55D84">
            <w:pPr>
              <w:rPr>
                <w:b/>
                <w:bCs/>
              </w:rPr>
            </w:pPr>
            <w:r w:rsidRPr="0091228A">
              <w:rPr>
                <w:b/>
                <w:bCs/>
              </w:rPr>
              <w:t>Prioriteti</w:t>
            </w:r>
            <w:r w:rsidR="002447FC" w:rsidRPr="0091228A">
              <w:rPr>
                <w:b/>
                <w:bCs/>
              </w:rPr>
              <w:t xml:space="preserve"> </w:t>
            </w:r>
          </w:p>
        </w:tc>
        <w:tc>
          <w:tcPr>
            <w:tcW w:w="1826" w:type="pct"/>
            <w:shd w:val="clear" w:color="auto" w:fill="BFBFBF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66D872C5" w14:textId="29C368EC" w:rsidR="00D00B03" w:rsidRPr="0091228A" w:rsidRDefault="00D00B03" w:rsidP="00A55D84">
            <w:pPr>
              <w:rPr>
                <w:b/>
                <w:bCs/>
              </w:rPr>
            </w:pPr>
            <w:r w:rsidRPr="0091228A">
              <w:rPr>
                <w:b/>
                <w:bCs/>
              </w:rPr>
              <w:t>Posebni</w:t>
            </w:r>
            <w:r w:rsidR="002447FC" w:rsidRPr="0091228A">
              <w:rPr>
                <w:b/>
                <w:bCs/>
              </w:rPr>
              <w:t xml:space="preserve"> </w:t>
            </w:r>
            <w:r w:rsidRPr="0091228A">
              <w:rPr>
                <w:b/>
                <w:bCs/>
              </w:rPr>
              <w:t>ciljevi</w:t>
            </w:r>
          </w:p>
        </w:tc>
        <w:tc>
          <w:tcPr>
            <w:tcW w:w="2262" w:type="pct"/>
            <w:shd w:val="clear" w:color="auto" w:fill="BFBFBF"/>
          </w:tcPr>
          <w:p w14:paraId="18B7E548" w14:textId="712B264D" w:rsidR="00D00B03" w:rsidRPr="0091228A" w:rsidRDefault="00D00B03" w:rsidP="00A55D84">
            <w:pPr>
              <w:rPr>
                <w:b/>
                <w:bCs/>
              </w:rPr>
            </w:pPr>
            <w:r w:rsidRPr="0091228A">
              <w:rPr>
                <w:b/>
                <w:bCs/>
              </w:rPr>
              <w:t>Usklađenost</w:t>
            </w:r>
            <w:r w:rsidR="002447FC" w:rsidRPr="0091228A">
              <w:rPr>
                <w:b/>
                <w:bCs/>
              </w:rPr>
              <w:t xml:space="preserve"> </w:t>
            </w:r>
            <w:r w:rsidRPr="0091228A">
              <w:rPr>
                <w:b/>
                <w:bCs/>
              </w:rPr>
              <w:t>sa</w:t>
            </w:r>
            <w:r w:rsidR="002447FC" w:rsidRPr="0091228A">
              <w:rPr>
                <w:b/>
                <w:bCs/>
              </w:rPr>
              <w:t xml:space="preserve"> </w:t>
            </w:r>
            <w:r w:rsidR="00C8161E" w:rsidRPr="0091228A">
              <w:rPr>
                <w:b/>
                <w:bCs/>
              </w:rPr>
              <w:t>strateškim</w:t>
            </w:r>
            <w:r w:rsidR="002447FC" w:rsidRPr="0091228A">
              <w:rPr>
                <w:b/>
                <w:bCs/>
              </w:rPr>
              <w:t xml:space="preserve"> </w:t>
            </w:r>
            <w:r w:rsidR="00C8161E" w:rsidRPr="0091228A">
              <w:rPr>
                <w:b/>
                <w:bCs/>
              </w:rPr>
              <w:t>ciljevima</w:t>
            </w:r>
            <w:r w:rsidR="002447FC" w:rsidRPr="0091228A">
              <w:rPr>
                <w:b/>
                <w:bCs/>
              </w:rPr>
              <w:t xml:space="preserve"> </w:t>
            </w:r>
            <w:r w:rsidRPr="0091228A">
              <w:rPr>
                <w:b/>
                <w:bCs/>
              </w:rPr>
              <w:t>NRS</w:t>
            </w:r>
            <w:r w:rsidR="009800CB">
              <w:rPr>
                <w:b/>
                <w:bCs/>
              </w:rPr>
              <w:t>-a</w:t>
            </w:r>
            <w:r w:rsidR="002447FC" w:rsidRPr="0091228A">
              <w:rPr>
                <w:b/>
                <w:bCs/>
              </w:rPr>
              <w:t xml:space="preserve"> </w:t>
            </w:r>
            <w:r w:rsidR="00FB264B" w:rsidRPr="0091228A">
              <w:rPr>
                <w:b/>
                <w:bCs/>
              </w:rPr>
              <w:t>2030</w:t>
            </w:r>
          </w:p>
        </w:tc>
      </w:tr>
      <w:tr w:rsidR="00034749" w:rsidRPr="0091228A" w14:paraId="195B0D9B" w14:textId="77777777" w:rsidTr="00536E0A">
        <w:tc>
          <w:tcPr>
            <w:tcW w:w="912" w:type="pct"/>
            <w:vMerge w:val="restart"/>
            <w:shd w:val="clear" w:color="auto" w:fill="DEEAF6" w:themeFill="accent1" w:themeFillTint="33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12B9F610" w14:textId="77777777" w:rsidR="00034749" w:rsidRPr="0091228A" w:rsidRDefault="00034749" w:rsidP="00A55D84"/>
          <w:p w14:paraId="032189E0" w14:textId="45ADE069" w:rsidR="00034749" w:rsidRPr="0091228A" w:rsidRDefault="00034749" w:rsidP="00A55D84">
            <w:r w:rsidRPr="0091228A">
              <w:t xml:space="preserve">Razvoj konkurentnog i inovativnog gospodarstva   te rast zaposlenosti i stope obrazovanja </w:t>
            </w:r>
          </w:p>
        </w:tc>
        <w:tc>
          <w:tcPr>
            <w:tcW w:w="1826" w:type="pct"/>
            <w:shd w:val="clear" w:color="auto" w:fill="DEEAF6" w:themeFill="accent1" w:themeFillTint="33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132893EC" w14:textId="110E7F3E" w:rsidR="00034749" w:rsidRPr="0091228A" w:rsidRDefault="00034749" w:rsidP="005F5DF4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91228A">
              <w:t xml:space="preserve">Razvoj kreativnog i inovativnog poduzetništva </w:t>
            </w:r>
          </w:p>
        </w:tc>
        <w:tc>
          <w:tcPr>
            <w:tcW w:w="2262" w:type="pct"/>
            <w:shd w:val="clear" w:color="auto" w:fill="DEEAF6" w:themeFill="accent1" w:themeFillTint="33"/>
          </w:tcPr>
          <w:p w14:paraId="733A299B" w14:textId="682F2D18" w:rsidR="00034749" w:rsidRPr="0091228A" w:rsidRDefault="00034749" w:rsidP="008F4C66">
            <w:r w:rsidRPr="00DC3900">
              <w:t>SC</w:t>
            </w:r>
            <w:r w:rsidR="00D90376">
              <w:t xml:space="preserve"> </w:t>
            </w:r>
            <w:r w:rsidRPr="00DC3900">
              <w:t>1.</w:t>
            </w:r>
            <w:r>
              <w:t xml:space="preserve"> </w:t>
            </w:r>
            <w:r w:rsidRPr="0091228A">
              <w:t>Konkurentno i inovativno gospodarstvo</w:t>
            </w:r>
          </w:p>
        </w:tc>
      </w:tr>
      <w:tr w:rsidR="00034749" w:rsidRPr="0091228A" w14:paraId="54E42AA4" w14:textId="77777777" w:rsidTr="00536E0A">
        <w:tc>
          <w:tcPr>
            <w:tcW w:w="912" w:type="pct"/>
            <w:vMerge/>
            <w:shd w:val="clear" w:color="auto" w:fill="DEEAF6" w:themeFill="accent1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292E503B" w14:textId="77777777" w:rsidR="00034749" w:rsidRPr="0091228A" w:rsidRDefault="00034749" w:rsidP="00911AA9"/>
        </w:tc>
        <w:tc>
          <w:tcPr>
            <w:tcW w:w="1826" w:type="pct"/>
            <w:shd w:val="clear" w:color="auto" w:fill="DEEAF6" w:themeFill="accent1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0C8BA9A" w14:textId="0924DDF1" w:rsidR="00034749" w:rsidRPr="0091228A" w:rsidRDefault="00034749" w:rsidP="005F5DF4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EE57AF">
              <w:t>Osiguranje perspektivnog tržišta rada i zapošljavanje</w:t>
            </w:r>
          </w:p>
        </w:tc>
        <w:tc>
          <w:tcPr>
            <w:tcW w:w="2262" w:type="pct"/>
            <w:shd w:val="clear" w:color="auto" w:fill="DEEAF6" w:themeFill="accent1" w:themeFillTint="33"/>
          </w:tcPr>
          <w:p w14:paraId="5FAB979C" w14:textId="254CCD02" w:rsidR="00034749" w:rsidRPr="00DC3900" w:rsidRDefault="00034749" w:rsidP="00911AA9">
            <w:r w:rsidRPr="00852A7C">
              <w:t>SC 2. Obrazovani i zaposleni ljudi</w:t>
            </w:r>
          </w:p>
        </w:tc>
      </w:tr>
      <w:tr w:rsidR="00034749" w:rsidRPr="0091228A" w14:paraId="2800906B" w14:textId="77777777" w:rsidTr="00536E0A">
        <w:tc>
          <w:tcPr>
            <w:tcW w:w="912" w:type="pct"/>
            <w:vMerge/>
            <w:shd w:val="clear" w:color="auto" w:fill="DEEAF6" w:themeFill="accent1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9FFA557" w14:textId="77777777" w:rsidR="00034749" w:rsidRPr="0091228A" w:rsidRDefault="00034749" w:rsidP="00911AA9"/>
        </w:tc>
        <w:tc>
          <w:tcPr>
            <w:tcW w:w="1826" w:type="pct"/>
            <w:shd w:val="clear" w:color="auto" w:fill="DEEAF6" w:themeFill="accent1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5F76E4C7" w14:textId="66631946" w:rsidR="00034749" w:rsidRPr="0091228A" w:rsidRDefault="00034749" w:rsidP="005F5DF4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EE57AF">
              <w:t>Razvoj znanosti i obrazovanja</w:t>
            </w:r>
          </w:p>
        </w:tc>
        <w:tc>
          <w:tcPr>
            <w:tcW w:w="2262" w:type="pct"/>
            <w:shd w:val="clear" w:color="auto" w:fill="DEEAF6" w:themeFill="accent1" w:themeFillTint="33"/>
          </w:tcPr>
          <w:p w14:paraId="6F338EF7" w14:textId="0E617B61" w:rsidR="00034749" w:rsidRPr="00DC3900" w:rsidRDefault="00034749" w:rsidP="00911AA9">
            <w:r w:rsidRPr="00852A7C">
              <w:t>SC 2. Obrazovani i zaposleni ljudi</w:t>
            </w:r>
          </w:p>
        </w:tc>
      </w:tr>
      <w:tr w:rsidR="00034749" w:rsidRPr="0091228A" w14:paraId="25A67AE0" w14:textId="77777777" w:rsidTr="00536E0A">
        <w:tc>
          <w:tcPr>
            <w:tcW w:w="912" w:type="pct"/>
            <w:vMerge/>
            <w:shd w:val="clear" w:color="auto" w:fill="DEEAF6" w:themeFill="accent1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3A3ED1DB" w14:textId="77777777" w:rsidR="00034749" w:rsidRPr="0091228A" w:rsidRDefault="00034749" w:rsidP="00911AA9"/>
        </w:tc>
        <w:tc>
          <w:tcPr>
            <w:tcW w:w="1826" w:type="pct"/>
            <w:shd w:val="clear" w:color="auto" w:fill="DEEAF6" w:themeFill="accent1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170586A4" w14:textId="02CD9183" w:rsidR="00034749" w:rsidRPr="0091228A" w:rsidRDefault="00034749" w:rsidP="005F5DF4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EE57AF">
              <w:t>Održivo korištenje prirodne i kulturne baštine za gospodarski rast i razvoj</w:t>
            </w:r>
          </w:p>
        </w:tc>
        <w:tc>
          <w:tcPr>
            <w:tcW w:w="2262" w:type="pct"/>
            <w:shd w:val="clear" w:color="auto" w:fill="DEEAF6" w:themeFill="accent1" w:themeFillTint="33"/>
          </w:tcPr>
          <w:p w14:paraId="4A0B1160" w14:textId="4CC6EDD0" w:rsidR="00034749" w:rsidRPr="00DC3900" w:rsidRDefault="00034749" w:rsidP="00911AA9">
            <w:r w:rsidRPr="00852A7C">
              <w:t>SC1. Konkurentno i inovativno gospodarstvo</w:t>
            </w:r>
          </w:p>
        </w:tc>
      </w:tr>
      <w:tr w:rsidR="00034749" w:rsidRPr="0091228A" w14:paraId="23403F76" w14:textId="77777777" w:rsidTr="00536E0A">
        <w:tc>
          <w:tcPr>
            <w:tcW w:w="912" w:type="pct"/>
            <w:vMerge w:val="restart"/>
            <w:shd w:val="clear" w:color="auto" w:fill="FFF2CC" w:themeFill="accent4" w:themeFillTint="33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15657E7B" w14:textId="77777777" w:rsidR="00034749" w:rsidRDefault="00034749" w:rsidP="00A55D84"/>
          <w:p w14:paraId="0E4D50B3" w14:textId="346A2B4E" w:rsidR="00034749" w:rsidRPr="0091228A" w:rsidRDefault="00034749" w:rsidP="00A55D84">
            <w:r w:rsidRPr="0091228A">
              <w:t>Demografska revitalizacija  kvalitetan život i sigurnost za stabilan razvoj</w:t>
            </w:r>
          </w:p>
        </w:tc>
        <w:tc>
          <w:tcPr>
            <w:tcW w:w="1826" w:type="pct"/>
            <w:shd w:val="clear" w:color="auto" w:fill="FFF2CC" w:themeFill="accent4" w:themeFillTint="33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3600BF88" w14:textId="707AD2F3" w:rsidR="00034749" w:rsidRPr="0091228A" w:rsidRDefault="00034749" w:rsidP="008F4C66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91228A">
              <w:t>Demografski rast i aktivno življenje</w:t>
            </w:r>
          </w:p>
        </w:tc>
        <w:tc>
          <w:tcPr>
            <w:tcW w:w="2262" w:type="pct"/>
            <w:shd w:val="clear" w:color="auto" w:fill="FFF2CC" w:themeFill="accent4" w:themeFillTint="33"/>
          </w:tcPr>
          <w:p w14:paraId="03C4781A" w14:textId="17E6CB27" w:rsidR="00034749" w:rsidRPr="0091228A" w:rsidRDefault="00034749" w:rsidP="00034749">
            <w:r w:rsidRPr="0091228A">
              <w:t>SC6. Demografska revitalizacija i bolji položaj obitelji</w:t>
            </w:r>
          </w:p>
        </w:tc>
      </w:tr>
      <w:tr w:rsidR="00034749" w:rsidRPr="0091228A" w14:paraId="79945F0C" w14:textId="77777777" w:rsidTr="00536E0A">
        <w:tc>
          <w:tcPr>
            <w:tcW w:w="912" w:type="pct"/>
            <w:vMerge/>
            <w:shd w:val="clear" w:color="auto" w:fill="FFF2CC" w:themeFill="accent4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F296B75" w14:textId="77777777" w:rsidR="00034749" w:rsidRPr="0091228A" w:rsidRDefault="00034749" w:rsidP="00911AA9"/>
        </w:tc>
        <w:tc>
          <w:tcPr>
            <w:tcW w:w="1826" w:type="pct"/>
            <w:shd w:val="clear" w:color="auto" w:fill="FFF2CC" w:themeFill="accent4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30C59EB" w14:textId="43528D50" w:rsidR="00034749" w:rsidRPr="0091228A" w:rsidRDefault="00034749" w:rsidP="008F4C66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842E7F">
              <w:t>Ulaganje u zdravstvenu i socijalnu skrb</w:t>
            </w:r>
          </w:p>
        </w:tc>
        <w:tc>
          <w:tcPr>
            <w:tcW w:w="2262" w:type="pct"/>
            <w:shd w:val="clear" w:color="auto" w:fill="FFF2CC" w:themeFill="accent4" w:themeFillTint="33"/>
          </w:tcPr>
          <w:p w14:paraId="3BE2744C" w14:textId="3EC31252" w:rsidR="00034749" w:rsidRPr="0091228A" w:rsidRDefault="00034749" w:rsidP="00911AA9">
            <w:r w:rsidRPr="00F15217">
              <w:t>SC5. Zdrav, aktivan i kvalitetan život</w:t>
            </w:r>
          </w:p>
        </w:tc>
      </w:tr>
      <w:tr w:rsidR="00034749" w:rsidRPr="0091228A" w14:paraId="2EF68D8C" w14:textId="77777777" w:rsidTr="00536E0A">
        <w:tc>
          <w:tcPr>
            <w:tcW w:w="912" w:type="pct"/>
            <w:vMerge/>
            <w:shd w:val="clear" w:color="auto" w:fill="FFF2CC" w:themeFill="accent4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DFF0A8F" w14:textId="77777777" w:rsidR="00034749" w:rsidRPr="0091228A" w:rsidRDefault="00034749" w:rsidP="00911AA9"/>
        </w:tc>
        <w:tc>
          <w:tcPr>
            <w:tcW w:w="1826" w:type="pct"/>
            <w:shd w:val="clear" w:color="auto" w:fill="FFF2CC" w:themeFill="accent4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C44FADF" w14:textId="51041DB0" w:rsidR="00034749" w:rsidRPr="0091228A" w:rsidRDefault="00034749" w:rsidP="008F4C66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842E7F">
              <w:t>Ulaganja u kulturu</w:t>
            </w:r>
          </w:p>
        </w:tc>
        <w:tc>
          <w:tcPr>
            <w:tcW w:w="2262" w:type="pct"/>
            <w:shd w:val="clear" w:color="auto" w:fill="FFF2CC" w:themeFill="accent4" w:themeFillTint="33"/>
          </w:tcPr>
          <w:p w14:paraId="0D591E92" w14:textId="5CA2B14C" w:rsidR="00034749" w:rsidRPr="0091228A" w:rsidRDefault="00034749" w:rsidP="00911AA9">
            <w:r w:rsidRPr="00F15217">
              <w:t>SC1. Konkurentno i inovativno gospodarstvo</w:t>
            </w:r>
          </w:p>
        </w:tc>
      </w:tr>
      <w:tr w:rsidR="00034749" w:rsidRPr="0091228A" w14:paraId="0DFFCAD9" w14:textId="77777777" w:rsidTr="00536E0A">
        <w:tc>
          <w:tcPr>
            <w:tcW w:w="912" w:type="pct"/>
            <w:vMerge w:val="restart"/>
            <w:shd w:val="clear" w:color="auto" w:fill="E2EFD9" w:themeFill="accent6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386DF49E" w14:textId="46302D28" w:rsidR="00034749" w:rsidRDefault="00034749" w:rsidP="00911AA9">
            <w:bookmarkStart w:id="3" w:name="_Hlk81219848"/>
          </w:p>
          <w:p w14:paraId="6180E499" w14:textId="39CE3FAF" w:rsidR="00034749" w:rsidRPr="0091228A" w:rsidRDefault="00034749" w:rsidP="00911AA9">
            <w:r w:rsidRPr="0091228A">
              <w:t>Zelena i digitalna tranzicija gospodarstva i društva</w:t>
            </w:r>
            <w:bookmarkEnd w:id="3"/>
          </w:p>
        </w:tc>
        <w:tc>
          <w:tcPr>
            <w:tcW w:w="1826" w:type="pct"/>
            <w:shd w:val="clear" w:color="auto" w:fill="E2EFD9" w:themeFill="accent6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28CE9E0C" w14:textId="0C1F7186" w:rsidR="00034749" w:rsidRPr="00842E7F" w:rsidRDefault="00034749" w:rsidP="008F4C66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242120">
              <w:t>Razvoj klasičnih grana gospodarstva korištenjem zelene i digitalne tranzicije</w:t>
            </w:r>
          </w:p>
        </w:tc>
        <w:tc>
          <w:tcPr>
            <w:tcW w:w="2262" w:type="pct"/>
            <w:shd w:val="clear" w:color="auto" w:fill="E2EFD9" w:themeFill="accent6" w:themeFillTint="33"/>
          </w:tcPr>
          <w:p w14:paraId="1991EB62" w14:textId="12F03705" w:rsidR="00034749" w:rsidRPr="00F15217" w:rsidRDefault="00034749" w:rsidP="00911AA9">
            <w:r w:rsidRPr="0091228A">
              <w:t>SC11.</w:t>
            </w:r>
            <w:r>
              <w:t xml:space="preserve"> </w:t>
            </w:r>
            <w:r w:rsidRPr="0091228A">
              <w:t>Digitalna tranzicija društva i gospodarstva</w:t>
            </w:r>
          </w:p>
        </w:tc>
      </w:tr>
      <w:tr w:rsidR="00034749" w:rsidRPr="0091228A" w14:paraId="5FE3865C" w14:textId="77777777" w:rsidTr="00536E0A">
        <w:tc>
          <w:tcPr>
            <w:tcW w:w="912" w:type="pct"/>
            <w:vMerge/>
            <w:shd w:val="clear" w:color="auto" w:fill="E2EFD9" w:themeFill="accent6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0F0DB95A" w14:textId="77777777" w:rsidR="00034749" w:rsidRPr="0091228A" w:rsidRDefault="00034749" w:rsidP="00911AA9"/>
        </w:tc>
        <w:tc>
          <w:tcPr>
            <w:tcW w:w="1826" w:type="pct"/>
            <w:shd w:val="clear" w:color="auto" w:fill="E2EFD9" w:themeFill="accent6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1C8C6C11" w14:textId="6253582D" w:rsidR="00034749" w:rsidRPr="00842E7F" w:rsidRDefault="00034749" w:rsidP="008F4C66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242120">
              <w:t>Razvoj bio</w:t>
            </w:r>
            <w:r w:rsidR="00B20915">
              <w:t>ekonomije</w:t>
            </w:r>
          </w:p>
        </w:tc>
        <w:tc>
          <w:tcPr>
            <w:tcW w:w="2262" w:type="pct"/>
            <w:shd w:val="clear" w:color="auto" w:fill="E2EFD9" w:themeFill="accent6" w:themeFillTint="33"/>
          </w:tcPr>
          <w:p w14:paraId="521A8EC2" w14:textId="2B0F4E3F" w:rsidR="00034749" w:rsidRPr="00F15217" w:rsidRDefault="00034749" w:rsidP="00911AA9">
            <w:r w:rsidRPr="0091228A">
              <w:t>SC9. Samodostatnost u hrani i razvoj bio</w:t>
            </w:r>
            <w:r w:rsidR="00B20915">
              <w:t>ekonomije</w:t>
            </w:r>
          </w:p>
        </w:tc>
      </w:tr>
      <w:tr w:rsidR="00034749" w:rsidRPr="0091228A" w14:paraId="27526ECA" w14:textId="77777777" w:rsidTr="00536E0A">
        <w:tc>
          <w:tcPr>
            <w:tcW w:w="912" w:type="pct"/>
            <w:vMerge/>
            <w:shd w:val="clear" w:color="auto" w:fill="E2EFD9" w:themeFill="accent6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EF24330" w14:textId="77777777" w:rsidR="00034749" w:rsidRPr="0091228A" w:rsidRDefault="00034749" w:rsidP="00911AA9"/>
        </w:tc>
        <w:tc>
          <w:tcPr>
            <w:tcW w:w="1826" w:type="pct"/>
            <w:shd w:val="clear" w:color="auto" w:fill="E2EFD9" w:themeFill="accent6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2F087CCD" w14:textId="7AA18BAD" w:rsidR="00034749" w:rsidRPr="00842E7F" w:rsidRDefault="00CF7E2A" w:rsidP="008F4C66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91228A">
              <w:t xml:space="preserve">Intenzivno korištenje </w:t>
            </w:r>
            <w:r w:rsidRPr="00242120">
              <w:t>obnovljivih izvora energije i podizanje energetske učinkovitosti</w:t>
            </w:r>
          </w:p>
        </w:tc>
        <w:tc>
          <w:tcPr>
            <w:tcW w:w="2262" w:type="pct"/>
            <w:shd w:val="clear" w:color="auto" w:fill="E2EFD9" w:themeFill="accent6" w:themeFillTint="33"/>
          </w:tcPr>
          <w:p w14:paraId="73A8A1C1" w14:textId="1D9FA4E0" w:rsidR="00034749" w:rsidRPr="00F15217" w:rsidRDefault="00034749" w:rsidP="00EE395E">
            <w:r w:rsidRPr="0091228A">
              <w:t>SC8. Ekološka i energetska tranzicija za klimatsku neutralnost</w:t>
            </w:r>
          </w:p>
        </w:tc>
      </w:tr>
      <w:tr w:rsidR="00034749" w:rsidRPr="0091228A" w14:paraId="639F56E5" w14:textId="77777777" w:rsidTr="00536E0A">
        <w:tc>
          <w:tcPr>
            <w:tcW w:w="912" w:type="pct"/>
            <w:vMerge/>
            <w:shd w:val="clear" w:color="auto" w:fill="E2EFD9" w:themeFill="accent6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630DB7C0" w14:textId="77777777" w:rsidR="00034749" w:rsidRPr="0091228A" w:rsidRDefault="00034749" w:rsidP="00911AA9"/>
        </w:tc>
        <w:tc>
          <w:tcPr>
            <w:tcW w:w="1826" w:type="pct"/>
            <w:shd w:val="clear" w:color="auto" w:fill="E2EFD9" w:themeFill="accent6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204F32F1" w14:textId="0A365520" w:rsidR="00CF7E2A" w:rsidRPr="00842E7F" w:rsidRDefault="00CF7E2A" w:rsidP="008F4C66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91228A">
              <w:t>Daljnji razvoj komunalne, prometne i društvene infrastrukture</w:t>
            </w:r>
          </w:p>
        </w:tc>
        <w:tc>
          <w:tcPr>
            <w:tcW w:w="2262" w:type="pct"/>
            <w:shd w:val="clear" w:color="auto" w:fill="E2EFD9" w:themeFill="accent6" w:themeFillTint="33"/>
          </w:tcPr>
          <w:p w14:paraId="19621A80" w14:textId="1084E119" w:rsidR="00034749" w:rsidRPr="00F15217" w:rsidRDefault="00034749" w:rsidP="00EE395E">
            <w:r w:rsidRPr="0091228A">
              <w:t>SC8. Ekološka i energetska tranzicija za klimatsku neutralnost</w:t>
            </w:r>
          </w:p>
        </w:tc>
      </w:tr>
      <w:tr w:rsidR="00034749" w:rsidRPr="0091228A" w14:paraId="7A1CB0F0" w14:textId="77777777" w:rsidTr="00536E0A">
        <w:tc>
          <w:tcPr>
            <w:tcW w:w="912" w:type="pct"/>
            <w:vMerge w:val="restart"/>
            <w:shd w:val="clear" w:color="auto" w:fill="FBE4D5" w:themeFill="accent2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77DD78A0" w14:textId="52612208" w:rsidR="00034749" w:rsidRDefault="00034749" w:rsidP="00911AA9"/>
          <w:p w14:paraId="65A2F9E7" w14:textId="0C0C63E6" w:rsidR="00034749" w:rsidRPr="0091228A" w:rsidRDefault="00034749" w:rsidP="00911AA9">
            <w:bookmarkStart w:id="4" w:name="_Hlk81219865"/>
            <w:r w:rsidRPr="0091228A">
              <w:t>Jačanje konkurentnosti županije i razvoj potpomognutih područja NRS</w:t>
            </w:r>
            <w:r>
              <w:t>-a</w:t>
            </w:r>
            <w:r w:rsidRPr="0091228A">
              <w:t xml:space="preserve"> 2030</w:t>
            </w:r>
            <w:bookmarkEnd w:id="4"/>
          </w:p>
        </w:tc>
        <w:tc>
          <w:tcPr>
            <w:tcW w:w="1826" w:type="pct"/>
            <w:shd w:val="clear" w:color="auto" w:fill="FBE4D5" w:themeFill="accent2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385A02DD" w14:textId="3CDF7D73" w:rsidR="00034749" w:rsidRPr="00242120" w:rsidRDefault="00034749" w:rsidP="008F4C66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1B6526">
              <w:t xml:space="preserve">Jačanje upravljanja razvojem  </w:t>
            </w:r>
          </w:p>
        </w:tc>
        <w:tc>
          <w:tcPr>
            <w:tcW w:w="2262" w:type="pct"/>
            <w:shd w:val="clear" w:color="auto" w:fill="FBE4D5" w:themeFill="accent2" w:themeFillTint="33"/>
          </w:tcPr>
          <w:p w14:paraId="702C99FF" w14:textId="6EDDFB60" w:rsidR="00034749" w:rsidRPr="0091228A" w:rsidRDefault="00034749" w:rsidP="00911AA9">
            <w:r w:rsidRPr="0091228A">
              <w:t>SC12. Razvoj potpomognutih područja i područja s razvojnim posebnostima</w:t>
            </w:r>
          </w:p>
        </w:tc>
      </w:tr>
      <w:tr w:rsidR="00034749" w:rsidRPr="0091228A" w14:paraId="1382DA1D" w14:textId="77777777" w:rsidTr="00536E0A">
        <w:tc>
          <w:tcPr>
            <w:tcW w:w="912" w:type="pct"/>
            <w:vMerge/>
            <w:shd w:val="clear" w:color="auto" w:fill="FBE4D5" w:themeFill="accent2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4AAAD213" w14:textId="77777777" w:rsidR="00034749" w:rsidRPr="0091228A" w:rsidRDefault="00034749" w:rsidP="00911AA9"/>
        </w:tc>
        <w:tc>
          <w:tcPr>
            <w:tcW w:w="1826" w:type="pct"/>
            <w:shd w:val="clear" w:color="auto" w:fill="FBE4D5" w:themeFill="accent2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164A0D27" w14:textId="5EBAA4CC" w:rsidR="00034749" w:rsidRPr="00242120" w:rsidRDefault="00034749" w:rsidP="008F4C66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1B6526">
              <w:t xml:space="preserve">Razvoj potpomognutih područja i </w:t>
            </w:r>
            <w:r w:rsidRPr="002E2849">
              <w:t>ITU</w:t>
            </w:r>
          </w:p>
        </w:tc>
        <w:tc>
          <w:tcPr>
            <w:tcW w:w="2262" w:type="pct"/>
            <w:shd w:val="clear" w:color="auto" w:fill="FBE4D5" w:themeFill="accent2" w:themeFillTint="33"/>
          </w:tcPr>
          <w:p w14:paraId="31E75A60" w14:textId="54BC26A4" w:rsidR="00034749" w:rsidRPr="0091228A" w:rsidRDefault="00EE395E" w:rsidP="00EE395E">
            <w:r w:rsidRPr="0091228A">
              <w:t>SC3. Učinkovito i djelotvorno pravosuđe, javna uprava i upravljanje državnom imovinom</w:t>
            </w:r>
          </w:p>
        </w:tc>
      </w:tr>
      <w:tr w:rsidR="00034749" w:rsidRPr="0091228A" w14:paraId="211F028F" w14:textId="77777777" w:rsidTr="00536E0A">
        <w:tc>
          <w:tcPr>
            <w:tcW w:w="912" w:type="pct"/>
            <w:vMerge/>
            <w:shd w:val="clear" w:color="auto" w:fill="FBE4D5" w:themeFill="accent2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18F29EA6" w14:textId="77777777" w:rsidR="00034749" w:rsidRPr="0091228A" w:rsidRDefault="00034749" w:rsidP="00911AA9"/>
        </w:tc>
        <w:tc>
          <w:tcPr>
            <w:tcW w:w="1826" w:type="pct"/>
            <w:shd w:val="clear" w:color="auto" w:fill="FBE4D5" w:themeFill="accent2" w:themeFillTint="33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2EBD0BD7" w14:textId="25B333DE" w:rsidR="00034749" w:rsidRPr="00242120" w:rsidRDefault="00034749" w:rsidP="008F4C66">
            <w:pPr>
              <w:pStyle w:val="Odlomakpopisa"/>
              <w:numPr>
                <w:ilvl w:val="0"/>
                <w:numId w:val="17"/>
              </w:numPr>
              <w:spacing w:after="160" w:line="259" w:lineRule="auto"/>
              <w:ind w:left="357" w:hanging="357"/>
              <w:jc w:val="both"/>
            </w:pPr>
            <w:r w:rsidRPr="001B6526">
              <w:t xml:space="preserve">Jačanje spremnosti na okolišne i sigurnosne izazove </w:t>
            </w:r>
          </w:p>
        </w:tc>
        <w:tc>
          <w:tcPr>
            <w:tcW w:w="2262" w:type="pct"/>
            <w:shd w:val="clear" w:color="auto" w:fill="FBE4D5" w:themeFill="accent2" w:themeFillTint="33"/>
          </w:tcPr>
          <w:p w14:paraId="257C002A" w14:textId="4EAB5318" w:rsidR="00034749" w:rsidRPr="0091228A" w:rsidRDefault="00EE395E" w:rsidP="00EE395E">
            <w:r w:rsidRPr="0091228A">
              <w:t>SC7. Sigurnost za stabilan razvoj</w:t>
            </w:r>
          </w:p>
        </w:tc>
      </w:tr>
    </w:tbl>
    <w:p w14:paraId="2FF9159D" w14:textId="01BEFEE2" w:rsidR="00911AA9" w:rsidRDefault="00911AA9" w:rsidP="00D00B03"/>
    <w:p w14:paraId="1744C539" w14:textId="77777777" w:rsidR="00911AA9" w:rsidRPr="001166C1" w:rsidRDefault="00911AA9" w:rsidP="00D00B03"/>
    <w:p w14:paraId="42D5BF6C" w14:textId="77777777" w:rsidR="003419AF" w:rsidRPr="001166C1" w:rsidRDefault="003419AF" w:rsidP="00EA0845">
      <w:pPr>
        <w:rPr>
          <w:rStyle w:val="titlechar"/>
          <w:rFonts w:cs="Arial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1166C1">
        <w:rPr>
          <w:rStyle w:val="titlechar"/>
          <w:rFonts w:cs="Arial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Iskustvo stečeno u ranije provedenim strategijama </w:t>
      </w:r>
      <w:bookmarkStart w:id="5" w:name="_Hlk80192125"/>
    </w:p>
    <w:bookmarkEnd w:id="5"/>
    <w:p w14:paraId="07850A11" w14:textId="3D07A95F" w:rsidR="00D506AB" w:rsidRPr="0091228A" w:rsidRDefault="007575C4">
      <w:pPr>
        <w:jc w:val="both"/>
        <w:rPr>
          <w:rStyle w:val="titlechar"/>
          <w:u w:val="single"/>
        </w:rPr>
      </w:pPr>
      <w:r w:rsidRPr="0091228A">
        <w:rPr>
          <w:rStyle w:val="titlechar"/>
          <w:rFonts w:cstheme="minorHAnsi"/>
        </w:rPr>
        <w:t xml:space="preserve">U procesu provedbe županijskih strategija do sada nisu identificirani značajniji problemi. </w:t>
      </w:r>
      <w:r w:rsidR="00D506AB" w:rsidRPr="0091228A">
        <w:rPr>
          <w:u w:val="single"/>
        </w:rPr>
        <w:t>Županijska razvojna strategija BPŽ</w:t>
      </w:r>
      <w:r w:rsidR="002A57A2">
        <w:rPr>
          <w:u w:val="single"/>
        </w:rPr>
        <w:t>-a</w:t>
      </w:r>
      <w:r w:rsidR="00D506AB" w:rsidRPr="0091228A">
        <w:rPr>
          <w:u w:val="single"/>
        </w:rPr>
        <w:t xml:space="preserve"> 2011.</w:t>
      </w:r>
      <w:r w:rsidR="002A57A2">
        <w:rPr>
          <w:u w:val="single"/>
        </w:rPr>
        <w:t xml:space="preserve"> </w:t>
      </w:r>
      <w:r w:rsidR="00D506AB" w:rsidRPr="0091228A">
        <w:rPr>
          <w:u w:val="single"/>
        </w:rPr>
        <w:t>-</w:t>
      </w:r>
      <w:r w:rsidR="002A57A2">
        <w:rPr>
          <w:u w:val="single"/>
        </w:rPr>
        <w:t xml:space="preserve"> </w:t>
      </w:r>
      <w:r w:rsidR="00D506AB" w:rsidRPr="0091228A">
        <w:rPr>
          <w:u w:val="single"/>
        </w:rPr>
        <w:t xml:space="preserve">2013., koja je bila na snazi </w:t>
      </w:r>
      <w:r w:rsidRPr="0091228A">
        <w:rPr>
          <w:u w:val="single"/>
        </w:rPr>
        <w:t xml:space="preserve">do </w:t>
      </w:r>
      <w:r w:rsidR="00D506AB" w:rsidRPr="0091228A">
        <w:rPr>
          <w:u w:val="single"/>
        </w:rPr>
        <w:t>2018</w:t>
      </w:r>
      <w:r w:rsidR="00D506AB" w:rsidRPr="0091228A">
        <w:t xml:space="preserve">. </w:t>
      </w:r>
      <w:r w:rsidRPr="0091228A">
        <w:t>godine</w:t>
      </w:r>
      <w:r w:rsidR="00D506AB" w:rsidRPr="0091228A">
        <w:t xml:space="preserve"> ima</w:t>
      </w:r>
      <w:r w:rsidRPr="0091228A">
        <w:t xml:space="preserve">la je </w:t>
      </w:r>
      <w:r w:rsidR="00D506AB" w:rsidRPr="0091228A">
        <w:t xml:space="preserve"> 4 strateška cilja, 16 prioriteta i 59 mjera. </w:t>
      </w:r>
      <w:r w:rsidRPr="0091228A">
        <w:t xml:space="preserve"> Na</w:t>
      </w:r>
      <w:r w:rsidR="00D506AB" w:rsidRPr="0091228A">
        <w:t>jviše se ulagalo u lokalne i regionalne prometnice, energetsku obnovu javnih zgrada</w:t>
      </w:r>
      <w:r w:rsidR="00A36130" w:rsidRPr="0091228A">
        <w:t xml:space="preserve">, </w:t>
      </w:r>
      <w:r w:rsidR="00D506AB" w:rsidRPr="0091228A">
        <w:t>unapređenje zdravstvenih institucija</w:t>
      </w:r>
      <w:r w:rsidR="00A36130" w:rsidRPr="0091228A">
        <w:t xml:space="preserve">, </w:t>
      </w:r>
      <w:r w:rsidR="00D506AB" w:rsidRPr="0091228A">
        <w:t xml:space="preserve">u provedbu socijalnih programa te općenito u unapređenje kvalitete života stanovnika na području Županije. </w:t>
      </w:r>
      <w:r w:rsidR="00FC603A">
        <w:t>Najviše sredstava uloženo je u</w:t>
      </w:r>
      <w:r w:rsidR="00D506AB" w:rsidRPr="0091228A">
        <w:t xml:space="preserve"> projekte vezane za  cilj</w:t>
      </w:r>
      <w:r w:rsidR="00FE1AA7" w:rsidRPr="0091228A">
        <w:t xml:space="preserve"> 4.:</w:t>
      </w:r>
      <w:r w:rsidR="00D506AB" w:rsidRPr="0091228A">
        <w:t xml:space="preserve"> Poboljšanje kvalitete života, razvoj društvene infrastrukture i unapređenje socijalno osjetljivih skupina. </w:t>
      </w:r>
      <w:r w:rsidR="00A36130" w:rsidRPr="0091228A">
        <w:t xml:space="preserve"> U</w:t>
      </w:r>
      <w:r w:rsidR="00D506AB" w:rsidRPr="0091228A">
        <w:t xml:space="preserve"> razdoblju 2017. i 2018. </w:t>
      </w:r>
      <w:r w:rsidR="00FE1AA7" w:rsidRPr="0091228A">
        <w:t xml:space="preserve">godine, </w:t>
      </w:r>
      <w:r w:rsidR="00D506AB" w:rsidRPr="0091228A">
        <w:t xml:space="preserve">županijski prioriteti </w:t>
      </w:r>
      <w:r w:rsidR="00FE1AA7" w:rsidRPr="0091228A">
        <w:t xml:space="preserve">usmjereni </w:t>
      </w:r>
      <w:r w:rsidR="00FC603A">
        <w:t xml:space="preserve">su </w:t>
      </w:r>
      <w:r w:rsidR="00D506AB" w:rsidRPr="0091228A">
        <w:t>na projekt</w:t>
      </w:r>
      <w:r w:rsidR="00FE1AA7" w:rsidRPr="0091228A">
        <w:t>e</w:t>
      </w:r>
      <w:r w:rsidR="00D506AB" w:rsidRPr="0091228A">
        <w:t xml:space="preserve"> javne infrastrukture, a ne na zapošljavanj</w:t>
      </w:r>
      <w:r w:rsidR="00FE1AA7" w:rsidRPr="0091228A">
        <w:t>e</w:t>
      </w:r>
      <w:r w:rsidR="00D506AB" w:rsidRPr="0091228A">
        <w:t xml:space="preserve"> i razvoj gospodarstva.</w:t>
      </w:r>
    </w:p>
    <w:p w14:paraId="1A030030" w14:textId="69F96EC3" w:rsidR="00FE1AA7" w:rsidRPr="0091228A" w:rsidRDefault="00D506AB" w:rsidP="00FB264B">
      <w:pPr>
        <w:jc w:val="both"/>
      </w:pPr>
      <w:r w:rsidRPr="0091228A">
        <w:rPr>
          <w:u w:val="single"/>
        </w:rPr>
        <w:t>Županijska razvojna strategija BPŽ</w:t>
      </w:r>
      <w:r w:rsidR="00FC603A">
        <w:rPr>
          <w:u w:val="single"/>
        </w:rPr>
        <w:t>-a</w:t>
      </w:r>
      <w:r w:rsidRPr="0091228A">
        <w:rPr>
          <w:u w:val="single"/>
        </w:rPr>
        <w:t xml:space="preserve"> do 2020.</w:t>
      </w:r>
      <w:r w:rsidR="00C442A5" w:rsidRPr="0091228A">
        <w:rPr>
          <w:u w:val="single"/>
        </w:rPr>
        <w:t xml:space="preserve"> godine</w:t>
      </w:r>
      <w:r w:rsidR="00C442A5" w:rsidRPr="0091228A">
        <w:rPr>
          <w:b/>
        </w:rPr>
        <w:t xml:space="preserve"> </w:t>
      </w:r>
      <w:r w:rsidRPr="0091228A">
        <w:t xml:space="preserve"> ima</w:t>
      </w:r>
      <w:r w:rsidR="007575C4" w:rsidRPr="0091228A">
        <w:t>la je</w:t>
      </w:r>
      <w:r w:rsidRPr="0091228A">
        <w:t xml:space="preserve"> 3 strateška cilja, 13 prioriteta i 58 mjera. Temeljem županijskih izvješća o rezultatima provedbe </w:t>
      </w:r>
      <w:r w:rsidR="007575C4" w:rsidRPr="0091228A">
        <w:t xml:space="preserve">Strategije </w:t>
      </w:r>
      <w:r w:rsidRPr="0091228A">
        <w:t>najviše se ula</w:t>
      </w:r>
      <w:r w:rsidR="007575C4" w:rsidRPr="0091228A">
        <w:t>galo</w:t>
      </w:r>
      <w:r w:rsidRPr="0091228A">
        <w:t xml:space="preserve"> u društvenu infrastrukturu, komunalnu infrastrukturu, prometnu infrastrukturu, fizičku infrastrukturu i poduzetničke zone te u povećanje energetske učinkovitosti. </w:t>
      </w:r>
      <w:r w:rsidR="00A36130" w:rsidRPr="0091228A">
        <w:t>Razvojni p</w:t>
      </w:r>
      <w:r w:rsidRPr="0091228A">
        <w:t>rioriteti BPŽ</w:t>
      </w:r>
      <w:r w:rsidR="00FC603A">
        <w:t>-a</w:t>
      </w:r>
      <w:r w:rsidRPr="0091228A">
        <w:t xml:space="preserve"> i dalje su na javnoj infrastrukturi</w:t>
      </w:r>
      <w:r w:rsidR="00F40B66" w:rsidRPr="0091228A">
        <w:t xml:space="preserve">. Vidljiv je pozitivan iskorak </w:t>
      </w:r>
      <w:r w:rsidR="00FC603A">
        <w:t>ka</w:t>
      </w:r>
      <w:r w:rsidR="00F40B66" w:rsidRPr="0091228A">
        <w:t xml:space="preserve"> porast</w:t>
      </w:r>
      <w:r w:rsidR="00FC603A">
        <w:t>u</w:t>
      </w:r>
      <w:r w:rsidR="00F40B66" w:rsidRPr="0091228A">
        <w:t xml:space="preserve"> </w:t>
      </w:r>
      <w:r w:rsidRPr="0091228A">
        <w:t>ulaganja u projekte zapošljavanja i razvoj gospodarstva</w:t>
      </w:r>
      <w:r w:rsidR="00F40B66" w:rsidRPr="0091228A">
        <w:t xml:space="preserve">. </w:t>
      </w:r>
    </w:p>
    <w:p w14:paraId="002AE6A4" w14:textId="211B1319" w:rsidR="00D506AB" w:rsidRPr="0091228A" w:rsidRDefault="00D506AB" w:rsidP="00FB264B">
      <w:pPr>
        <w:jc w:val="both"/>
      </w:pPr>
      <w:r w:rsidRPr="0091228A">
        <w:t xml:space="preserve">U strukturi ukupnog iznosa utrošenih sredstva za provedbu </w:t>
      </w:r>
      <w:r w:rsidR="00844430" w:rsidRPr="0091228A">
        <w:t xml:space="preserve">županijskih strategija </w:t>
      </w:r>
      <w:r w:rsidRPr="0091228A">
        <w:t xml:space="preserve">najveći dio sredstava </w:t>
      </w:r>
      <w:r w:rsidR="00844430" w:rsidRPr="0091228A">
        <w:t xml:space="preserve">bio </w:t>
      </w:r>
      <w:r w:rsidR="00421950">
        <w:t xml:space="preserve">je </w:t>
      </w:r>
      <w:r w:rsidRPr="0091228A">
        <w:t>iz fondova E</w:t>
      </w:r>
      <w:r w:rsidR="00421950">
        <w:t>uropske unije (E</w:t>
      </w:r>
      <w:r w:rsidRPr="0091228A">
        <w:t>U</w:t>
      </w:r>
      <w:r w:rsidR="00421950">
        <w:t>)</w:t>
      </w:r>
      <w:r w:rsidRPr="0091228A">
        <w:t xml:space="preserve"> i proračuna</w:t>
      </w:r>
      <w:r w:rsidR="00844430" w:rsidRPr="0091228A">
        <w:t xml:space="preserve"> jedinica lokalne samouprave, a z</w:t>
      </w:r>
      <w:r w:rsidRPr="0091228A">
        <w:t>atim slijede državni</w:t>
      </w:r>
      <w:r w:rsidR="00F40B66" w:rsidRPr="0091228A">
        <w:t xml:space="preserve"> proračun, županijski proračun i </w:t>
      </w:r>
      <w:r w:rsidRPr="0091228A">
        <w:t>javna poduzeća.</w:t>
      </w:r>
    </w:p>
    <w:p w14:paraId="7DE8FBD8" w14:textId="6D302871" w:rsidR="00D80492" w:rsidRPr="001166C1" w:rsidRDefault="00D00B03" w:rsidP="004614DD">
      <w:pPr>
        <w:pStyle w:val="Naslov1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6" w:name="_Toc84938278"/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SREDNJOROČNA VIZIJA RAZVOJA</w:t>
      </w:r>
      <w:r w:rsidR="004614DD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BRODSKO-POSAVSKE ŽUPANIJE</w:t>
      </w:r>
      <w:bookmarkEnd w:id="6"/>
    </w:p>
    <w:p w14:paraId="1852765D" w14:textId="26B85AE9" w:rsidR="00D00B03" w:rsidRPr="0091228A" w:rsidRDefault="00D00B03" w:rsidP="00D00B03">
      <w:pPr>
        <w:jc w:val="both"/>
      </w:pPr>
      <w:r w:rsidRPr="0091228A">
        <w:t>Strateški okvir razvoja B</w:t>
      </w:r>
      <w:r w:rsidR="00F40B66" w:rsidRPr="0091228A">
        <w:t xml:space="preserve">rodsko–posavske županije </w:t>
      </w:r>
      <w:r w:rsidRPr="0091228A">
        <w:t>sadrži viziju, prioritete javnih politika</w:t>
      </w:r>
      <w:r w:rsidR="00F40B66" w:rsidRPr="0091228A">
        <w:t xml:space="preserve"> i</w:t>
      </w:r>
      <w:r w:rsidRPr="0091228A">
        <w:t xml:space="preserve"> posebne ciljeve koje Županija pla</w:t>
      </w:r>
      <w:r w:rsidR="00F40B66" w:rsidRPr="0091228A">
        <w:t xml:space="preserve">nira ostvariti do 2027. godine te </w:t>
      </w:r>
      <w:r w:rsidRPr="0091228A">
        <w:t xml:space="preserve">mjere za njihovo ostvarenje. </w:t>
      </w:r>
    </w:p>
    <w:p w14:paraId="6D064B2C" w14:textId="30FD3280" w:rsidR="00D00B03" w:rsidRPr="0091228A" w:rsidRDefault="00D00B03" w:rsidP="00D00B03">
      <w:pPr>
        <w:jc w:val="both"/>
      </w:pPr>
      <w:r w:rsidRPr="0091228A">
        <w:t>Vizija razvoja okvir je za definiranje posebnih ciljeva i ključnih područja intervencija u nadležnosti lokalne i područne (regionalne) samouprave u BPŽ</w:t>
      </w:r>
      <w:r w:rsidR="00421950">
        <w:t>-u</w:t>
      </w:r>
      <w:r w:rsidRPr="0091228A">
        <w:t xml:space="preserve"> u srednjoročnom razdoblju do 2027. godine. </w:t>
      </w:r>
    </w:p>
    <w:p w14:paraId="257EC3C8" w14:textId="5DF9570B" w:rsidR="00D00B03" w:rsidRPr="0091228A" w:rsidRDefault="00D00B03" w:rsidP="00D00B03">
      <w:pPr>
        <w:jc w:val="both"/>
      </w:pPr>
      <w:r w:rsidRPr="0091228A">
        <w:t>Vizija razvoja BPŽ</w:t>
      </w:r>
      <w:r w:rsidR="00421950">
        <w:t>-a</w:t>
      </w:r>
      <w:r w:rsidRPr="0091228A">
        <w:t xml:space="preserve"> usklađena je s vizijom iz Nacionalne razvojne strategije Republike Hrvatske do 2030. godine, usmjerena je prema ključnim razvojnim prioritetima </w:t>
      </w:r>
      <w:r w:rsidR="00421950">
        <w:t>te</w:t>
      </w:r>
      <w:r w:rsidRPr="0091228A">
        <w:t xml:space="preserve">  </w:t>
      </w:r>
      <w:r w:rsidR="00E74862">
        <w:t>potiče</w:t>
      </w:r>
      <w:r w:rsidRPr="0091228A">
        <w:t xml:space="preserve"> na ostvarenje.</w:t>
      </w:r>
    </w:p>
    <w:p w14:paraId="0B299F9C" w14:textId="77777777" w:rsidR="00D00B03" w:rsidRPr="00EC75EE" w:rsidRDefault="00D00B03" w:rsidP="00D00B03">
      <w:pPr>
        <w:jc w:val="both"/>
        <w:rPr>
          <w:sz w:val="24"/>
          <w:szCs w:val="24"/>
        </w:rPr>
      </w:pPr>
    </w:p>
    <w:p w14:paraId="56DCCFE1" w14:textId="77777777" w:rsidR="00D00B03" w:rsidRPr="00EC75EE" w:rsidRDefault="00D00B03" w:rsidP="00EC75EE">
      <w:pPr>
        <w:shd w:val="clear" w:color="auto" w:fill="BDD6EE" w:themeFill="accent1" w:themeFillTint="66"/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EC75E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VIZIJA</w:t>
      </w:r>
    </w:p>
    <w:p w14:paraId="701FCB05" w14:textId="356AD18A" w:rsidR="00D00B03" w:rsidRPr="00EC75EE" w:rsidRDefault="00D00B03" w:rsidP="00EC75EE">
      <w:pPr>
        <w:shd w:val="clear" w:color="auto" w:fill="BDD6EE" w:themeFill="accent1" w:themeFillTint="66"/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EC75E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Brodsko</w:t>
      </w:r>
      <w:r w:rsidR="00723740" w:rsidRPr="00EC75E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EC75E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posavska županija je tradicionalno središte industrije i poduzetništva u snažnom zamahu ka zelenom, inovativnom, digitalnom gospodarstvu i zadovoljnom društvu.</w:t>
      </w:r>
    </w:p>
    <w:p w14:paraId="0EBC6852" w14:textId="77777777" w:rsidR="00D00B03" w:rsidRPr="0091228A" w:rsidRDefault="00D00B03" w:rsidP="00D00B03">
      <w:pPr>
        <w:jc w:val="both"/>
      </w:pPr>
    </w:p>
    <w:p w14:paraId="7B80C906" w14:textId="5D2E96B5" w:rsidR="00D80492" w:rsidRPr="0091228A" w:rsidRDefault="00F40B66" w:rsidP="00D00B03">
      <w:pPr>
        <w:jc w:val="both"/>
      </w:pPr>
      <w:r w:rsidRPr="0091228A">
        <w:t>V</w:t>
      </w:r>
      <w:r w:rsidR="00A14298" w:rsidRPr="0091228A">
        <w:t xml:space="preserve">izija </w:t>
      </w:r>
      <w:r w:rsidRPr="0091228A">
        <w:t xml:space="preserve">razvoja Brodsko-posavske </w:t>
      </w:r>
      <w:r w:rsidR="00E74862">
        <w:t>ž</w:t>
      </w:r>
      <w:r w:rsidRPr="0091228A">
        <w:t>u</w:t>
      </w:r>
      <w:r w:rsidR="00A14298" w:rsidRPr="0091228A">
        <w:t>panije usklađena je</w:t>
      </w:r>
      <w:r w:rsidRPr="0091228A">
        <w:t xml:space="preserve"> i</w:t>
      </w:r>
      <w:r w:rsidR="00A14298" w:rsidRPr="0091228A">
        <w:t xml:space="preserve"> s </w:t>
      </w:r>
      <w:r w:rsidR="00D80492" w:rsidRPr="0091228A">
        <w:t xml:space="preserve">nacionalnim vrijednostima i načelima, usmjerena je prema ključnim područjima intervencije na lokalnoj i područnoj (regionalnoj) razini, jasno opisuje željeno postignuće te </w:t>
      </w:r>
      <w:r w:rsidR="00E74862">
        <w:t>potiče</w:t>
      </w:r>
      <w:r w:rsidR="00D80492" w:rsidRPr="0091228A">
        <w:t xml:space="preserve"> na ostvarenje.</w:t>
      </w:r>
    </w:p>
    <w:p w14:paraId="0061FC49" w14:textId="7DCAE7B7" w:rsidR="00D80492" w:rsidRPr="0091228A" w:rsidRDefault="00D80492" w:rsidP="00D00B03">
      <w:pPr>
        <w:jc w:val="both"/>
      </w:pPr>
      <w:r w:rsidRPr="0091228A">
        <w:t>U ostvarivanje vizije</w:t>
      </w:r>
      <w:r w:rsidR="00F40B66" w:rsidRPr="0091228A">
        <w:t xml:space="preserve"> </w:t>
      </w:r>
      <w:r w:rsidR="00E74862" w:rsidRPr="0091228A">
        <w:t xml:space="preserve">do 2027. godine </w:t>
      </w:r>
      <w:r w:rsidRPr="0091228A">
        <w:t xml:space="preserve">bit </w:t>
      </w:r>
      <w:r w:rsidR="00F40B66" w:rsidRPr="0091228A">
        <w:t xml:space="preserve">će </w:t>
      </w:r>
      <w:r w:rsidRPr="0091228A">
        <w:t xml:space="preserve">uključeni svi dionici s područja </w:t>
      </w:r>
      <w:r w:rsidR="00D00B03" w:rsidRPr="0091228A">
        <w:t>BPŽ</w:t>
      </w:r>
      <w:r w:rsidR="00E74862">
        <w:t>-a</w:t>
      </w:r>
      <w:r w:rsidRPr="0091228A">
        <w:t xml:space="preserve">, </w:t>
      </w:r>
      <w:r w:rsidR="00E15A85" w:rsidRPr="0091228A">
        <w:t xml:space="preserve">s obzirom </w:t>
      </w:r>
      <w:r w:rsidR="00E74862">
        <w:t xml:space="preserve">na to </w:t>
      </w:r>
      <w:r w:rsidR="00E15A85" w:rsidRPr="0091228A">
        <w:t>da će oni</w:t>
      </w:r>
      <w:r w:rsidRPr="0091228A">
        <w:t xml:space="preserve"> provedbom predviđenih aktivnosti i strateških projekata</w:t>
      </w:r>
      <w:r w:rsidR="00BD46F1">
        <w:t>,</w:t>
      </w:r>
      <w:r w:rsidRPr="0091228A">
        <w:t xml:space="preserve"> financiranih vlastitim i drugim sredstvima</w:t>
      </w:r>
      <w:r w:rsidR="00BD46F1">
        <w:t>,</w:t>
      </w:r>
      <w:r w:rsidRPr="0091228A">
        <w:t xml:space="preserve"> doprinijeti </w:t>
      </w:r>
      <w:r w:rsidR="00F40B66" w:rsidRPr="0091228A">
        <w:t xml:space="preserve">njezinom </w:t>
      </w:r>
      <w:r w:rsidRPr="0091228A">
        <w:t xml:space="preserve">ostvarivanju. </w:t>
      </w:r>
      <w:r w:rsidR="00D00B03" w:rsidRPr="0091228A">
        <w:t xml:space="preserve"> V</w:t>
      </w:r>
      <w:r w:rsidRPr="0091228A">
        <w:t>izija je realno utemeljena</w:t>
      </w:r>
      <w:r w:rsidR="00D00B03" w:rsidRPr="0091228A">
        <w:t xml:space="preserve">, </w:t>
      </w:r>
      <w:r w:rsidRPr="0091228A">
        <w:t>odražava potrebe i očekivanja</w:t>
      </w:r>
      <w:r w:rsidR="00D00B03" w:rsidRPr="0091228A">
        <w:t xml:space="preserve"> građana, a </w:t>
      </w:r>
      <w:r w:rsidR="00E15A85" w:rsidRPr="0091228A">
        <w:t>ujedno</w:t>
      </w:r>
      <w:r w:rsidR="00D00B03" w:rsidRPr="0091228A">
        <w:t xml:space="preserve"> </w:t>
      </w:r>
      <w:r w:rsidR="00E15A85" w:rsidRPr="0091228A">
        <w:t xml:space="preserve">je </w:t>
      </w:r>
      <w:r w:rsidR="00D00B03" w:rsidRPr="0091228A">
        <w:t xml:space="preserve">i inspirativna </w:t>
      </w:r>
      <w:r w:rsidRPr="0091228A">
        <w:t xml:space="preserve">i motivirajuća </w:t>
      </w:r>
      <w:r w:rsidR="00D00B03" w:rsidRPr="0091228A">
        <w:t xml:space="preserve">za djelovanje ključnih dionika u doba </w:t>
      </w:r>
      <w:r w:rsidRPr="0091228A">
        <w:t>pandemije bolesti COVID-19.</w:t>
      </w:r>
    </w:p>
    <w:p w14:paraId="296A217B" w14:textId="42E74253" w:rsidR="00143268" w:rsidRPr="001166C1" w:rsidRDefault="009936CE" w:rsidP="002447FC">
      <w:pPr>
        <w:pStyle w:val="Naslov1"/>
        <w:jc w:val="both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7" w:name="_Toc84938279"/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OPIS RAZVOJNIH POTREBA I POTENCIJALA U SREDNJOROČNOM RAZDOBLJU</w:t>
      </w:r>
      <w:bookmarkEnd w:id="7"/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47F4F3FF" w14:textId="6D55EC4D" w:rsidR="00C442A5" w:rsidRPr="0091228A" w:rsidRDefault="00C442A5" w:rsidP="00C442A5">
      <w:r w:rsidRPr="0091228A">
        <w:t>Opis razvojnih potreba i potencijala u srednjoročnom razdoblju za Brodsko-posavsku županiju izrađen je temeljem prethodno izrađenih analiza – Analize stanj</w:t>
      </w:r>
      <w:r w:rsidR="003858F2" w:rsidRPr="0091228A">
        <w:t>a</w:t>
      </w:r>
      <w:r w:rsidRPr="0091228A">
        <w:t xml:space="preserve"> (u Prilogu Plana) te SWOT analize. U </w:t>
      </w:r>
      <w:r w:rsidR="00BD46F1">
        <w:t>A</w:t>
      </w:r>
      <w:r w:rsidRPr="0091228A">
        <w:t>nalizi stanja za svaki segment razvoja izrađene</w:t>
      </w:r>
      <w:r w:rsidR="00BD46F1">
        <w:t xml:space="preserve"> su</w:t>
      </w:r>
      <w:r w:rsidRPr="0091228A">
        <w:t xml:space="preserve"> „zbirne tablice“ sa sažetim prikazom ključnih  pozitivnih i negativnih obilježja u svakom razvojnom segmentu, a koje su bile osnova za izradu snaga i slabosti u SWOT analizi </w:t>
      </w:r>
      <w:r w:rsidR="003858F2" w:rsidRPr="0091228A">
        <w:t xml:space="preserve">u </w:t>
      </w:r>
      <w:r w:rsidRPr="0091228A">
        <w:t xml:space="preserve">Poglavlju. 3.1. </w:t>
      </w:r>
    </w:p>
    <w:p w14:paraId="1B416A83" w14:textId="0230E106" w:rsidR="00C442A5" w:rsidRPr="0091228A" w:rsidRDefault="00C442A5" w:rsidP="003858F2">
      <w:pPr>
        <w:jc w:val="both"/>
      </w:pPr>
      <w:r w:rsidRPr="0091228A">
        <w:t>Razvojne potrebe, predložene temeljem istaknutih  negativnih obilježja u BPŽ</w:t>
      </w:r>
      <w:r w:rsidR="00BD46F1">
        <w:t>-u</w:t>
      </w:r>
      <w:r w:rsidRPr="0091228A">
        <w:t xml:space="preserve"> u </w:t>
      </w:r>
      <w:r w:rsidR="00BD46F1">
        <w:t>A</w:t>
      </w:r>
      <w:r w:rsidRPr="0091228A">
        <w:t xml:space="preserve">nalizi stanja, sastavni </w:t>
      </w:r>
      <w:r w:rsidR="006A25E5">
        <w:t xml:space="preserve">su </w:t>
      </w:r>
      <w:r w:rsidRPr="0091228A">
        <w:t xml:space="preserve">dio „slabosti“ </w:t>
      </w:r>
      <w:r w:rsidR="003858F2" w:rsidRPr="0091228A">
        <w:t xml:space="preserve">i „prijetnji“ </w:t>
      </w:r>
      <w:r w:rsidRPr="0091228A">
        <w:t xml:space="preserve">u </w:t>
      </w:r>
      <w:r w:rsidRPr="00275D46">
        <w:t>SWOT</w:t>
      </w:r>
      <w:r w:rsidRPr="0091228A">
        <w:t xml:space="preserve"> analizi</w:t>
      </w:r>
      <w:r w:rsidR="003858F2" w:rsidRPr="0091228A">
        <w:t xml:space="preserve"> te</w:t>
      </w:r>
      <w:r w:rsidRPr="0091228A">
        <w:t xml:space="preserve">  s</w:t>
      </w:r>
      <w:r w:rsidR="006A25E5">
        <w:t>e</w:t>
      </w:r>
      <w:r w:rsidRPr="0091228A">
        <w:t xml:space="preserve"> posebno razmatra</w:t>
      </w:r>
      <w:r w:rsidR="006A25E5">
        <w:t>ju</w:t>
      </w:r>
      <w:r w:rsidR="003858F2" w:rsidRPr="0091228A">
        <w:t xml:space="preserve"> i prikazane </w:t>
      </w:r>
      <w:r w:rsidR="006A25E5">
        <w:t xml:space="preserve">su </w:t>
      </w:r>
      <w:r w:rsidR="003858F2" w:rsidRPr="0091228A">
        <w:t>u Poglavlju 3.2.</w:t>
      </w:r>
      <w:r w:rsidRPr="0091228A">
        <w:t xml:space="preserve">.  U </w:t>
      </w:r>
      <w:r w:rsidR="006A25E5">
        <w:t>P</w:t>
      </w:r>
      <w:r w:rsidRPr="0091228A">
        <w:t xml:space="preserve">oglavlju 3.3. prikazani </w:t>
      </w:r>
      <w:r w:rsidR="006A25E5">
        <w:t xml:space="preserve">su </w:t>
      </w:r>
      <w:r w:rsidRPr="0091228A">
        <w:t>razvojni potencijali, koji su odraz pozitivnih obilježja unutar Županije,  nje</w:t>
      </w:r>
      <w:r w:rsidR="006A25E5">
        <w:t>zi</w:t>
      </w:r>
      <w:r w:rsidRPr="0091228A">
        <w:t>nih „snaga“ i „prilika“ istaknutih u SWOT analizi.</w:t>
      </w:r>
    </w:p>
    <w:p w14:paraId="03195B45" w14:textId="1E361AFE" w:rsidR="003858F2" w:rsidRPr="0091228A" w:rsidRDefault="00C442A5" w:rsidP="003858F2">
      <w:pPr>
        <w:jc w:val="both"/>
      </w:pPr>
      <w:r w:rsidRPr="0091228A">
        <w:t>Spomenute tri analize (SWOT analiza, analiza potreba te analiza potencijala)  daju sažeti prikaz ključnih pozitivnih i negativnih obilježja, te potreba i razvojnog potencijala u Županiji</w:t>
      </w:r>
      <w:r w:rsidR="006A25E5">
        <w:t>.</w:t>
      </w:r>
      <w:r w:rsidR="006F3311">
        <w:t xml:space="preserve"> </w:t>
      </w:r>
      <w:r w:rsidR="006A25E5">
        <w:t>Stoga</w:t>
      </w:r>
      <w:r w:rsidRPr="0091228A">
        <w:t xml:space="preserve"> su poslužile kao argumentirana osnova za izradu strateškog okvira i prijedlog strateških projekata za Brodsko-posavsku županiju.</w:t>
      </w:r>
      <w:r w:rsidR="003858F2" w:rsidRPr="0091228A">
        <w:t xml:space="preserve"> </w:t>
      </w:r>
    </w:p>
    <w:p w14:paraId="66E764F0" w14:textId="1CB64CE8" w:rsidR="003858F2" w:rsidRPr="0091228A" w:rsidRDefault="003858F2" w:rsidP="003858F2">
      <w:pPr>
        <w:jc w:val="both"/>
      </w:pPr>
      <w:r w:rsidRPr="0091228A">
        <w:rPr>
          <w:u w:val="single"/>
        </w:rPr>
        <w:t>Potpomognuta područja, brdsko-planinska, područja od posebne državne skrbi te područja</w:t>
      </w:r>
      <w:r w:rsidR="00C671B9">
        <w:rPr>
          <w:u w:val="single"/>
        </w:rPr>
        <w:t xml:space="preserve"> </w:t>
      </w:r>
      <w:r w:rsidR="00932ACA">
        <w:rPr>
          <w:u w:val="single"/>
        </w:rPr>
        <w:t>i</w:t>
      </w:r>
      <w:r w:rsidR="007655E5">
        <w:rPr>
          <w:u w:val="single"/>
        </w:rPr>
        <w:t>ntegriranih teritorijalnih ulaganja (ITU)</w:t>
      </w:r>
      <w:r w:rsidR="00C671B9">
        <w:rPr>
          <w:u w:val="single"/>
        </w:rPr>
        <w:t xml:space="preserve"> </w:t>
      </w:r>
      <w:r w:rsidRPr="0091228A">
        <w:t xml:space="preserve"> obuhvaćena su u svim navedenim dijelovima Plana razvoja BPŽ</w:t>
      </w:r>
      <w:r w:rsidR="007001F0">
        <w:t>-a</w:t>
      </w:r>
      <w:r w:rsidRPr="0091228A">
        <w:t xml:space="preserve"> te u prilozima koji sadrže analizu stanja i opis mjera.</w:t>
      </w:r>
    </w:p>
    <w:p w14:paraId="0F28AC8B" w14:textId="7CFFC665" w:rsidR="00113572" w:rsidRPr="001166C1" w:rsidRDefault="00B06514" w:rsidP="00B06514">
      <w:pPr>
        <w:pStyle w:val="Naslov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bookmarkStart w:id="8" w:name="_Toc84938280"/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lastRenderedPageBreak/>
        <w:t xml:space="preserve">3.1. </w:t>
      </w:r>
      <w:r w:rsidR="00113572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SWOT </w:t>
      </w:r>
      <w:r w:rsidR="00580B39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ANALIZA</w:t>
      </w:r>
      <w:bookmarkEnd w:id="8"/>
    </w:p>
    <w:p w14:paraId="2E269B82" w14:textId="69AE202A" w:rsidR="00580B39" w:rsidRPr="0091228A" w:rsidRDefault="00580B39" w:rsidP="00580B39">
      <w:r w:rsidRPr="0091228A">
        <w:t>SWOT analiza je kvalitativna analitička metoda koja kroz 4 čimbenika nastoji prikazati snage, slabosti, prilike i prijetnje određene pojave ili situacije, pri čemu snage i slabosti predstavljaju interne, a prilike i prijetnje eksterne čimbenike.</w:t>
      </w:r>
    </w:p>
    <w:p w14:paraId="5814D1D5" w14:textId="77777777" w:rsidR="00A87054" w:rsidRPr="0091228A" w:rsidRDefault="00A87054" w:rsidP="00580B39"/>
    <w:p w14:paraId="51D0315C" w14:textId="54F5DE15" w:rsidR="006F7FE4" w:rsidRPr="0091228A" w:rsidRDefault="002D58B6" w:rsidP="002D58B6">
      <w:pPr>
        <w:pStyle w:val="Opisslike"/>
        <w:rPr>
          <w:b w:val="0"/>
        </w:rPr>
      </w:pPr>
      <w:bookmarkStart w:id="9" w:name="_Toc83978794"/>
      <w:r w:rsidRPr="0091228A">
        <w:t xml:space="preserve">Tablica </w:t>
      </w:r>
      <w:r w:rsidR="00D922ED">
        <w:rPr>
          <w:noProof/>
        </w:rPr>
        <w:fldChar w:fldCharType="begin"/>
      </w:r>
      <w:r w:rsidR="00D922ED">
        <w:rPr>
          <w:noProof/>
        </w:rPr>
        <w:instrText xml:space="preserve"> SEQ Tablica \* ARABIC </w:instrText>
      </w:r>
      <w:r w:rsidR="00D922ED">
        <w:rPr>
          <w:noProof/>
        </w:rPr>
        <w:fldChar w:fldCharType="separate"/>
      </w:r>
      <w:r w:rsidR="00975640">
        <w:rPr>
          <w:noProof/>
        </w:rPr>
        <w:t>2</w:t>
      </w:r>
      <w:r w:rsidR="00D922ED">
        <w:rPr>
          <w:noProof/>
        </w:rPr>
        <w:fldChar w:fldCharType="end"/>
      </w:r>
      <w:r w:rsidRPr="0091228A">
        <w:t xml:space="preserve">. </w:t>
      </w:r>
      <w:r w:rsidR="006F7FE4" w:rsidRPr="0091228A">
        <w:t>SWOT analiza</w:t>
      </w:r>
      <w:bookmarkEnd w:id="9"/>
      <w:r w:rsidR="006F7FE4" w:rsidRPr="0091228A"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580B39" w:rsidRPr="0091228A" w14:paraId="712FB852" w14:textId="77777777" w:rsidTr="0072192E">
        <w:tc>
          <w:tcPr>
            <w:tcW w:w="4531" w:type="dxa"/>
            <w:shd w:val="clear" w:color="auto" w:fill="9CC2E5" w:themeFill="accent1" w:themeFillTint="99"/>
          </w:tcPr>
          <w:p w14:paraId="2EC5F4E7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spacing w:before="25"/>
              <w:ind w:left="105"/>
              <w:rPr>
                <w:rFonts w:cstheme="minorHAnsi"/>
                <w:sz w:val="24"/>
                <w:szCs w:val="24"/>
              </w:rPr>
            </w:pPr>
            <w:r w:rsidRPr="0072192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SNAGE</w:t>
            </w:r>
          </w:p>
        </w:tc>
        <w:tc>
          <w:tcPr>
            <w:tcW w:w="4531" w:type="dxa"/>
            <w:shd w:val="clear" w:color="auto" w:fill="C00000"/>
          </w:tcPr>
          <w:p w14:paraId="7B5118C2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spacing w:before="25"/>
              <w:ind w:left="105"/>
              <w:rPr>
                <w:rFonts w:cstheme="minorHAnsi"/>
                <w:sz w:val="24"/>
                <w:szCs w:val="24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t>SLABOSTI</w:t>
            </w:r>
          </w:p>
        </w:tc>
      </w:tr>
      <w:tr w:rsidR="00580B39" w:rsidRPr="0091228A" w14:paraId="7F28877B" w14:textId="77777777" w:rsidTr="00580B39">
        <w:tc>
          <w:tcPr>
            <w:tcW w:w="4531" w:type="dxa"/>
          </w:tcPr>
          <w:p w14:paraId="4EBF06B8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t>Društvene djelatnosti</w:t>
            </w:r>
          </w:p>
          <w:p w14:paraId="11718E19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42" w:after="160" w:line="230" w:lineRule="exact"/>
              <w:ind w:right="336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brojne organizacije civilnog društva (OCD) </w:t>
            </w:r>
          </w:p>
          <w:p w14:paraId="4C6512F9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42" w:after="160" w:line="230" w:lineRule="exact"/>
              <w:ind w:right="336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relativno razvijena obrazovno-odgojna infrastruktura</w:t>
            </w:r>
          </w:p>
          <w:p w14:paraId="5C95B5A5" w14:textId="18B11076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42" w:after="160" w:line="230" w:lineRule="exact"/>
              <w:ind w:right="336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izgradnja centra kompetencija </w:t>
            </w:r>
            <w:r w:rsidR="007001F0">
              <w:rPr>
                <w:rFonts w:cstheme="minorHAnsi"/>
                <w:sz w:val="20"/>
                <w:szCs w:val="20"/>
              </w:rPr>
              <w:t>O</w:t>
            </w:r>
            <w:r w:rsidRPr="0091228A">
              <w:rPr>
                <w:rFonts w:cstheme="minorHAnsi"/>
                <w:sz w:val="20"/>
                <w:szCs w:val="20"/>
              </w:rPr>
              <w:t>pćine Slavonski Šamac</w:t>
            </w:r>
          </w:p>
          <w:p w14:paraId="766656F3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42" w:after="160" w:line="230" w:lineRule="exact"/>
              <w:ind w:right="336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Sveučilište u Slavonskom Brodu</w:t>
            </w:r>
          </w:p>
          <w:p w14:paraId="4F22AA94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42" w:after="160" w:line="230" w:lineRule="exact"/>
              <w:ind w:right="336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>inovativne udruge i rad s mladima</w:t>
            </w:r>
          </w:p>
          <w:p w14:paraId="7FF6C4CE" w14:textId="77777777" w:rsidR="00580B39" w:rsidRPr="0091228A" w:rsidRDefault="00580B39" w:rsidP="00580B39">
            <w:pPr>
              <w:pStyle w:val="Odlomakpopisa"/>
              <w:widowControl w:val="0"/>
              <w:autoSpaceDE w:val="0"/>
              <w:autoSpaceDN w:val="0"/>
              <w:adjustRightInd w:val="0"/>
              <w:spacing w:before="42" w:line="230" w:lineRule="exact"/>
              <w:ind w:right="33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8E91942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t>Društvene djelatnosti</w:t>
            </w:r>
          </w:p>
          <w:p w14:paraId="617ACDB8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1800"/>
                <w:tab w:val="left" w:pos="2680"/>
                <w:tab w:val="left" w:pos="3580"/>
                <w:tab w:val="left" w:pos="4480"/>
                <w:tab w:val="left" w:pos="4780"/>
              </w:tabs>
              <w:autoSpaceDE w:val="0"/>
              <w:autoSpaceDN w:val="0"/>
              <w:adjustRightInd w:val="0"/>
              <w:spacing w:before="6" w:after="160" w:line="238" w:lineRule="exact"/>
              <w:ind w:right="67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neaktivnost udruga civilnog društva i njihova financijska nestabilnost</w:t>
            </w:r>
          </w:p>
          <w:p w14:paraId="3F32F664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9" w:after="160" w:line="254" w:lineRule="auto"/>
              <w:ind w:right="65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nedostatni financijski kapaciteti BPŽ-a za aktivniju socijalnu politiku (npr. deinstitucionalizacija, socijalne inovacije i sl.)</w:t>
            </w:r>
          </w:p>
          <w:p w14:paraId="21233F69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9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pomanjkanje entuzijazma kod stanovnika, poglavito mladih</w:t>
            </w:r>
          </w:p>
          <w:p w14:paraId="604453E4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9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starenje i iseljavanje stanovništva (pogotovo u ruralnim sredinama) te depopulacija mladih</w:t>
            </w:r>
          </w:p>
          <w:p w14:paraId="38534D3C" w14:textId="77777777" w:rsidR="00580B39" w:rsidRPr="0091228A" w:rsidRDefault="00580B39" w:rsidP="0036389B">
            <w:pPr>
              <w:pStyle w:val="Odlomakpopisa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nedovoljni i neadekvatni kapaciteti za skrb o starijim i nemoćnima, u prvom redu u ruralnim sredinama</w:t>
            </w:r>
          </w:p>
          <w:p w14:paraId="6EC6D6DA" w14:textId="5BD150D6" w:rsidR="00580B39" w:rsidRPr="0091228A" w:rsidRDefault="00580B39" w:rsidP="0036389B">
            <w:pPr>
              <w:pStyle w:val="Odlomakpopisa"/>
              <w:numPr>
                <w:ilvl w:val="0"/>
                <w:numId w:val="8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nizak </w:t>
            </w:r>
            <w:r w:rsidR="007001F0">
              <w:rPr>
                <w:rFonts w:cstheme="minorHAnsi"/>
                <w:sz w:val="20"/>
                <w:szCs w:val="20"/>
              </w:rPr>
              <w:t xml:space="preserve">životni </w:t>
            </w:r>
            <w:r w:rsidRPr="0091228A">
              <w:rPr>
                <w:rFonts w:cstheme="minorHAnsi"/>
                <w:sz w:val="20"/>
                <w:szCs w:val="20"/>
              </w:rPr>
              <w:t>standard stanovništva ruralnih područja</w:t>
            </w:r>
          </w:p>
          <w:p w14:paraId="316808DB" w14:textId="46F9E187" w:rsidR="00580B39" w:rsidRPr="0091228A" w:rsidRDefault="00580B39" w:rsidP="0013560E">
            <w:pPr>
              <w:pStyle w:val="Odlomakpopis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9" w:line="259" w:lineRule="auto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ovisnost o socijalnoj pomoći u ruralnim područjima </w:t>
            </w:r>
          </w:p>
        </w:tc>
      </w:tr>
      <w:tr w:rsidR="00580B39" w:rsidRPr="0091228A" w14:paraId="345E93C0" w14:textId="77777777" w:rsidTr="00580B39">
        <w:tc>
          <w:tcPr>
            <w:tcW w:w="4531" w:type="dxa"/>
          </w:tcPr>
          <w:p w14:paraId="50E2764A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t>Gospodarstvo</w:t>
            </w:r>
          </w:p>
          <w:p w14:paraId="1AE0D16C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9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dostupnost poduzetničke infrastrukture</w:t>
            </w:r>
          </w:p>
          <w:p w14:paraId="3DCEDC39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postojanje poduzetničko-potpornih institucija i njihova dobra geografska raspoređenost</w:t>
            </w:r>
          </w:p>
          <w:p w14:paraId="43E35531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9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tradicija u metaloprerađivačkoj industriji</w:t>
            </w:r>
          </w:p>
          <w:p w14:paraId="03481484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9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postojanje radne snage u metaloprerađivačkoj industriji</w:t>
            </w:r>
          </w:p>
          <w:p w14:paraId="7F47CC03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9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postojeći resursi pogodni za razvoj turizma</w:t>
            </w:r>
          </w:p>
          <w:p w14:paraId="006A9AEA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postojanje lovišta</w:t>
            </w:r>
          </w:p>
          <w:p w14:paraId="14C5A4F4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bogata  kulturna baština i tradicija</w:t>
            </w:r>
          </w:p>
          <w:p w14:paraId="7D55E2FB" w14:textId="78DA65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ind w:right="67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prirodni resursi i biološka raznolikost (8 zaštićenih područja, velik dio pokriven projekt</w:t>
            </w:r>
            <w:r w:rsidR="00F0097E">
              <w:rPr>
                <w:rFonts w:cstheme="minorHAnsi"/>
                <w:sz w:val="20"/>
                <w:szCs w:val="20"/>
              </w:rPr>
              <w:t>om</w:t>
            </w:r>
            <w:r w:rsidRPr="0091228A">
              <w:rPr>
                <w:rFonts w:cstheme="minorHAnsi"/>
                <w:sz w:val="20"/>
                <w:szCs w:val="20"/>
              </w:rPr>
              <w:t xml:space="preserve"> NATURA 2000)</w:t>
            </w:r>
          </w:p>
          <w:p w14:paraId="62F1A151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30" w:lineRule="exact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razmjerno niski </w:t>
            </w:r>
            <w:r w:rsidRPr="0091228A">
              <w:rPr>
                <w:rFonts w:cstheme="minorHAnsi"/>
                <w:i/>
                <w:iCs/>
                <w:sz w:val="20"/>
                <w:szCs w:val="20"/>
              </w:rPr>
              <w:t xml:space="preserve">start-up </w:t>
            </w:r>
            <w:r w:rsidRPr="0091228A">
              <w:rPr>
                <w:rFonts w:cstheme="minorHAnsi"/>
                <w:sz w:val="20"/>
                <w:szCs w:val="20"/>
              </w:rPr>
              <w:t>troškovi</w:t>
            </w:r>
          </w:p>
          <w:p w14:paraId="6AC698D5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dostupnost sirovina za razvoj </w:t>
            </w:r>
            <w:r w:rsidRPr="00275D46">
              <w:rPr>
                <w:rFonts w:cstheme="minorHAnsi"/>
                <w:sz w:val="20"/>
                <w:szCs w:val="20"/>
              </w:rPr>
              <w:t>bioekonomije</w:t>
            </w:r>
          </w:p>
          <w:p w14:paraId="5FE21F9C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ind w:right="70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povoljan geografski položaj</w:t>
            </w:r>
          </w:p>
          <w:p w14:paraId="00E383CF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39" w:lineRule="auto"/>
              <w:ind w:right="69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postojanje 3 </w:t>
            </w:r>
            <w:r w:rsidRPr="00275D46">
              <w:rPr>
                <w:rFonts w:cstheme="minorHAnsi"/>
                <w:sz w:val="20"/>
                <w:szCs w:val="20"/>
              </w:rPr>
              <w:t>LAG</w:t>
            </w:r>
            <w:r w:rsidRPr="0091228A">
              <w:rPr>
                <w:rFonts w:cstheme="minorHAnsi"/>
                <w:sz w:val="20"/>
                <w:szCs w:val="20"/>
              </w:rPr>
              <w:t>-a s donesenim lokalnim razvojnim strategijama do 2020. i odobrenim financiranjem</w:t>
            </w:r>
          </w:p>
          <w:p w14:paraId="33445166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3" w:line="259" w:lineRule="auto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postojanje 2 razvojne agencije i </w:t>
            </w:r>
            <w:r w:rsidRPr="00275D46">
              <w:rPr>
                <w:rFonts w:cstheme="minorHAnsi"/>
                <w:sz w:val="20"/>
                <w:szCs w:val="20"/>
              </w:rPr>
              <w:t>JU CTR</w:t>
            </w:r>
            <w:r w:rsidRPr="0091228A">
              <w:rPr>
                <w:rFonts w:cstheme="minorHAnsi"/>
                <w:sz w:val="20"/>
                <w:szCs w:val="20"/>
              </w:rPr>
              <w:t>-a</w:t>
            </w:r>
          </w:p>
          <w:p w14:paraId="5EF38E8B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0B063B1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t>Gospodarstvo</w:t>
            </w:r>
          </w:p>
          <w:p w14:paraId="49ED62C1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31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manjak poduzetničke klime</w:t>
            </w:r>
          </w:p>
          <w:p w14:paraId="32F25DB5" w14:textId="77777777" w:rsidR="00580B39" w:rsidRPr="0091228A" w:rsidRDefault="00580B39" w:rsidP="0036389B">
            <w:pPr>
              <w:pStyle w:val="Odlomakpopisa"/>
              <w:numPr>
                <w:ilvl w:val="0"/>
                <w:numId w:val="10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nedovoljno subvencioniranje i nedovoljna bespovratna sredstva za otvaranje novih i širenje postojećih gospodarskih subjekata</w:t>
            </w:r>
          </w:p>
          <w:p w14:paraId="1701A932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0"/>
              </w:numPr>
              <w:tabs>
                <w:tab w:val="left" w:pos="1380"/>
                <w:tab w:val="left" w:pos="2600"/>
                <w:tab w:val="left" w:pos="4060"/>
              </w:tabs>
              <w:autoSpaceDE w:val="0"/>
              <w:autoSpaceDN w:val="0"/>
              <w:adjustRightInd w:val="0"/>
              <w:spacing w:before="3" w:after="160" w:line="239" w:lineRule="auto"/>
              <w:ind w:right="52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izostanak sektorskih strateških razvojnih dokumenata u ključnim područjima gospodarstva (poduzetništvo) </w:t>
            </w:r>
          </w:p>
          <w:p w14:paraId="35C49EBC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" w:after="160" w:line="239" w:lineRule="auto"/>
              <w:ind w:right="66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neusklađenost  obrazovnog sustava i potreba tržišta rada</w:t>
            </w:r>
          </w:p>
          <w:p w14:paraId="530A5548" w14:textId="6D7379D8" w:rsidR="00580B39" w:rsidRPr="0091228A" w:rsidRDefault="00F0097E" w:rsidP="0036389B">
            <w:pPr>
              <w:pStyle w:val="Odlomakpopis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3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="00580B39" w:rsidRPr="0091228A">
              <w:rPr>
                <w:rFonts w:cstheme="minorHAnsi"/>
                <w:sz w:val="20"/>
                <w:szCs w:val="20"/>
              </w:rPr>
              <w:t xml:space="preserve">edovoljno razvijena turistička ponuda i infrastruktura </w:t>
            </w:r>
          </w:p>
          <w:p w14:paraId="4E7693D5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neiskorištenost industrijskih zona</w:t>
            </w:r>
          </w:p>
          <w:p w14:paraId="361222B4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0"/>
              </w:numPr>
              <w:tabs>
                <w:tab w:val="left" w:pos="1620"/>
                <w:tab w:val="left" w:pos="3220"/>
                <w:tab w:val="left" w:pos="4580"/>
              </w:tabs>
              <w:autoSpaceDE w:val="0"/>
              <w:autoSpaceDN w:val="0"/>
              <w:adjustRightInd w:val="0"/>
              <w:spacing w:before="7" w:after="160" w:line="226" w:lineRule="exact"/>
              <w:ind w:right="69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nedovoljna prepoznatljivost (brendiranje) turističkih proizvoda i usluga</w:t>
            </w:r>
          </w:p>
          <w:p w14:paraId="70CA2270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manjak tradicionalnih poljoprivrednika i eko-proizvodnje</w:t>
            </w:r>
          </w:p>
          <w:p w14:paraId="159814BB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nepopunjene industrijske zone</w:t>
            </w:r>
          </w:p>
          <w:p w14:paraId="06600F19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0"/>
              </w:numPr>
              <w:tabs>
                <w:tab w:val="left" w:pos="2200"/>
                <w:tab w:val="left" w:pos="3560"/>
                <w:tab w:val="left" w:pos="4560"/>
              </w:tabs>
              <w:autoSpaceDE w:val="0"/>
              <w:autoSpaceDN w:val="0"/>
              <w:adjustRightInd w:val="0"/>
              <w:spacing w:before="7" w:after="160" w:line="226" w:lineRule="exact"/>
              <w:ind w:right="66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nekonkurentnost proizvodnog sektora, zastarjele tehnologije</w:t>
            </w:r>
          </w:p>
          <w:p w14:paraId="2E2FD84C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niska razina ulaganja u istraživanje i razvoj</w:t>
            </w:r>
          </w:p>
          <w:p w14:paraId="7C89A782" w14:textId="021637CD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0"/>
              </w:numPr>
              <w:tabs>
                <w:tab w:val="left" w:pos="1780"/>
                <w:tab w:val="left" w:pos="3320"/>
                <w:tab w:val="left" w:pos="4320"/>
              </w:tabs>
              <w:autoSpaceDE w:val="0"/>
              <w:autoSpaceDN w:val="0"/>
              <w:adjustRightInd w:val="0"/>
              <w:spacing w:before="9" w:after="160" w:line="224" w:lineRule="exact"/>
              <w:ind w:right="67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nedovoljna poduzetnička znanja, informatička pismenost i </w:t>
            </w:r>
            <w:r w:rsidR="004639BC">
              <w:rPr>
                <w:rFonts w:cstheme="minorHAnsi"/>
                <w:sz w:val="20"/>
                <w:szCs w:val="20"/>
              </w:rPr>
              <w:t xml:space="preserve">poznavanje </w:t>
            </w:r>
            <w:r w:rsidRPr="0091228A">
              <w:rPr>
                <w:rFonts w:cstheme="minorHAnsi"/>
                <w:sz w:val="20"/>
                <w:szCs w:val="20"/>
              </w:rPr>
              <w:t>strani</w:t>
            </w:r>
            <w:r w:rsidR="004639BC">
              <w:rPr>
                <w:rFonts w:cstheme="minorHAnsi"/>
                <w:sz w:val="20"/>
                <w:szCs w:val="20"/>
              </w:rPr>
              <w:t>h</w:t>
            </w:r>
            <w:r w:rsidRPr="0091228A">
              <w:rPr>
                <w:rFonts w:cstheme="minorHAnsi"/>
                <w:sz w:val="20"/>
                <w:szCs w:val="20"/>
              </w:rPr>
              <w:t xml:space="preserve"> jezi</w:t>
            </w:r>
            <w:r w:rsidR="004639BC">
              <w:rPr>
                <w:rFonts w:cstheme="minorHAnsi"/>
                <w:sz w:val="20"/>
                <w:szCs w:val="20"/>
              </w:rPr>
              <w:t>ka</w:t>
            </w:r>
          </w:p>
          <w:p w14:paraId="47EC2681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25" w:lineRule="exact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manjak udruživanja u klastere</w:t>
            </w:r>
          </w:p>
          <w:p w14:paraId="498DFB81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usitnjenost i nepovezanost poljoprivrednog </w:t>
            </w:r>
            <w:r w:rsidRPr="0091228A">
              <w:rPr>
                <w:rFonts w:cstheme="minorHAnsi"/>
                <w:sz w:val="20"/>
                <w:szCs w:val="20"/>
              </w:rPr>
              <w:lastRenderedPageBreak/>
              <w:t>zemljišta</w:t>
            </w:r>
          </w:p>
          <w:p w14:paraId="66F65921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siva ekonomija</w:t>
            </w:r>
          </w:p>
          <w:p w14:paraId="36F6C7DF" w14:textId="6289E834" w:rsidR="00580B39" w:rsidRPr="0091228A" w:rsidRDefault="00580B39" w:rsidP="0013560E">
            <w:pPr>
              <w:pStyle w:val="Odlomakpopis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nepovjerenje i nespremnost građana za investiranje</w:t>
            </w:r>
          </w:p>
        </w:tc>
      </w:tr>
      <w:tr w:rsidR="00580B39" w:rsidRPr="0091228A" w14:paraId="6BC5BBE6" w14:textId="77777777" w:rsidTr="00580B39">
        <w:tc>
          <w:tcPr>
            <w:tcW w:w="4531" w:type="dxa"/>
          </w:tcPr>
          <w:p w14:paraId="2B56E925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Komunalna infrastruktura i okoliš</w:t>
            </w:r>
          </w:p>
          <w:p w14:paraId="403AF35A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5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očuvan okoliš </w:t>
            </w:r>
          </w:p>
          <w:p w14:paraId="3096A567" w14:textId="77777777" w:rsidR="00580B39" w:rsidRPr="0091228A" w:rsidRDefault="00580B39" w:rsidP="0036389B">
            <w:pPr>
              <w:pStyle w:val="Odlomakpopisa"/>
              <w:numPr>
                <w:ilvl w:val="0"/>
                <w:numId w:val="12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relativno zadovoljavajući sustav vodoopskrbe</w:t>
            </w:r>
          </w:p>
          <w:p w14:paraId="1E5434DD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160" w:line="250" w:lineRule="auto"/>
              <w:ind w:right="70"/>
              <w:jc w:val="both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doneseni prostorni planovi za sve jedinice lokalne i regionalne samouprave</w:t>
            </w:r>
          </w:p>
          <w:p w14:paraId="1F7CD0F6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2"/>
              </w:numPr>
              <w:tabs>
                <w:tab w:val="left" w:pos="2160"/>
                <w:tab w:val="left" w:pos="3460"/>
                <w:tab w:val="left" w:pos="4900"/>
              </w:tabs>
              <w:autoSpaceDE w:val="0"/>
              <w:autoSpaceDN w:val="0"/>
              <w:adjustRightInd w:val="0"/>
              <w:spacing w:before="9" w:after="160" w:line="252" w:lineRule="auto"/>
              <w:ind w:right="69"/>
              <w:jc w:val="both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relativno razvijena županijska i međužupanijska cestovna infrastruktura</w:t>
            </w:r>
          </w:p>
          <w:p w14:paraId="12693C92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5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relativno zadovoljavajuća plinska mreža</w:t>
            </w:r>
          </w:p>
          <w:p w14:paraId="6A45604A" w14:textId="77777777" w:rsidR="00580B39" w:rsidRPr="0091228A" w:rsidRDefault="00580B39" w:rsidP="0036389B">
            <w:pPr>
              <w:pStyle w:val="Odlomakpopisa"/>
              <w:numPr>
                <w:ilvl w:val="0"/>
                <w:numId w:val="12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vodni potencijal </w:t>
            </w:r>
          </w:p>
          <w:p w14:paraId="028BDA04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378AD8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t>Komunalna infrastruktura i okoliš</w:t>
            </w:r>
          </w:p>
          <w:p w14:paraId="4FD64D92" w14:textId="77777777" w:rsidR="00580B39" w:rsidRPr="0091228A" w:rsidRDefault="00580B39" w:rsidP="0036389B">
            <w:pPr>
              <w:pStyle w:val="Odlomakpopisa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nefunkcionalnost sustava gospodarenja otpadom</w:t>
            </w:r>
          </w:p>
          <w:p w14:paraId="6B6AC75B" w14:textId="29676F58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3"/>
              </w:numPr>
              <w:tabs>
                <w:tab w:val="left" w:pos="2220"/>
                <w:tab w:val="left" w:pos="3360"/>
                <w:tab w:val="left" w:pos="4280"/>
                <w:tab w:val="left" w:pos="5360"/>
              </w:tabs>
              <w:autoSpaceDE w:val="0"/>
              <w:autoSpaceDN w:val="0"/>
              <w:adjustRightInd w:val="0"/>
              <w:spacing w:before="16" w:after="160" w:line="220" w:lineRule="exact"/>
              <w:ind w:right="69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nema sustava nadzora i kažnjavanj</w:t>
            </w:r>
            <w:r w:rsidR="004F3D19">
              <w:rPr>
                <w:rFonts w:cstheme="minorHAnsi"/>
                <w:sz w:val="20"/>
                <w:szCs w:val="20"/>
              </w:rPr>
              <w:t>a</w:t>
            </w:r>
            <w:r w:rsidRPr="0091228A">
              <w:rPr>
                <w:rFonts w:cstheme="minorHAnsi"/>
                <w:sz w:val="20"/>
                <w:szCs w:val="20"/>
              </w:rPr>
              <w:t xml:space="preserve"> za nedopušteno odlaganje otpada</w:t>
            </w:r>
          </w:p>
          <w:p w14:paraId="7A6EEEC8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3"/>
              </w:numPr>
              <w:tabs>
                <w:tab w:val="left" w:pos="2220"/>
                <w:tab w:val="left" w:pos="3360"/>
                <w:tab w:val="left" w:pos="4280"/>
                <w:tab w:val="left" w:pos="5360"/>
              </w:tabs>
              <w:autoSpaceDE w:val="0"/>
              <w:autoSpaceDN w:val="0"/>
              <w:adjustRightInd w:val="0"/>
              <w:spacing w:before="16" w:after="160" w:line="220" w:lineRule="exact"/>
              <w:ind w:right="69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smanjivanje šumskog fonda </w:t>
            </w:r>
          </w:p>
          <w:p w14:paraId="0CCB7142" w14:textId="77777777" w:rsidR="00580B39" w:rsidRPr="0091228A" w:rsidRDefault="00580B39" w:rsidP="0036389B">
            <w:pPr>
              <w:pStyle w:val="Odlomakpopisa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porast divljih odlagališta (vodotoci i šume su lokacije divljih odlagališta)</w:t>
            </w:r>
          </w:p>
          <w:p w14:paraId="73C4BB87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5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relativno nerazvijena komunalna infrastruktura (sustav vodoopskrbe, plinska mreža, lokalne ceste, javna rasvjeta itd.)</w:t>
            </w:r>
          </w:p>
          <w:p w14:paraId="5D5B1FFB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3"/>
              </w:numPr>
              <w:tabs>
                <w:tab w:val="left" w:pos="2220"/>
                <w:tab w:val="left" w:pos="3360"/>
                <w:tab w:val="left" w:pos="4280"/>
                <w:tab w:val="left" w:pos="5360"/>
              </w:tabs>
              <w:autoSpaceDE w:val="0"/>
              <w:autoSpaceDN w:val="0"/>
              <w:adjustRightInd w:val="0"/>
              <w:spacing w:before="16" w:after="160" w:line="220" w:lineRule="exact"/>
              <w:ind w:right="69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nerazvijena ekološka svijest građana </w:t>
            </w:r>
          </w:p>
          <w:p w14:paraId="0BE6B66E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3"/>
              </w:numPr>
              <w:tabs>
                <w:tab w:val="left" w:pos="2220"/>
                <w:tab w:val="left" w:pos="3360"/>
                <w:tab w:val="left" w:pos="4280"/>
                <w:tab w:val="left" w:pos="5360"/>
              </w:tabs>
              <w:autoSpaceDE w:val="0"/>
              <w:autoSpaceDN w:val="0"/>
              <w:adjustRightInd w:val="0"/>
              <w:spacing w:before="16" w:after="160" w:line="220" w:lineRule="exact"/>
              <w:ind w:right="69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nedovoljna valorizacija prirodnih resursa kao izvora za razvoj </w:t>
            </w:r>
          </w:p>
          <w:p w14:paraId="2CF15010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5" w:after="160" w:line="243" w:lineRule="auto"/>
              <w:ind w:right="69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nedostatak spojnih i obilaznih cesta oko gradskih i većih općinskih središta </w:t>
            </w:r>
          </w:p>
          <w:p w14:paraId="40992ED5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5" w:after="160" w:line="243" w:lineRule="auto"/>
              <w:ind w:right="69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nedovoljno korištenje obnovljivih izvora energije (biomasa)</w:t>
            </w:r>
          </w:p>
          <w:p w14:paraId="4FA683FC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5" w:after="160" w:line="243" w:lineRule="auto"/>
              <w:ind w:right="69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nedovoljno razvijeni sustavi obrane od elementarnih nepogoda</w:t>
            </w:r>
          </w:p>
          <w:p w14:paraId="422235E2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" w:after="160" w:line="229" w:lineRule="exact"/>
              <w:ind w:right="67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neriješeni imovinsko pravni odnosi i zemljišne knjige</w:t>
            </w:r>
          </w:p>
          <w:p w14:paraId="357A090D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5" w:after="160" w:line="255" w:lineRule="auto"/>
              <w:ind w:right="65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zastarjela željeznička infrastruktura i nezadovoljavajuća dinamika modernizacije</w:t>
            </w:r>
          </w:p>
          <w:p w14:paraId="25BA0B6B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5" w:after="160" w:line="255" w:lineRule="auto"/>
              <w:ind w:right="65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zastarjeli vozni park u javnom prometu koji ugrožava sigurnost stanovnika (autobusi, vlakovi)</w:t>
            </w:r>
          </w:p>
          <w:p w14:paraId="6D54DD96" w14:textId="77777777" w:rsidR="00580B39" w:rsidRPr="0091228A" w:rsidRDefault="00580B39" w:rsidP="0036389B">
            <w:pPr>
              <w:pStyle w:val="Odlomakpopisa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neadekvatno razvijen širokopojasni Internet – nije pokrivena cijela Brodsko-posavska županija</w:t>
            </w:r>
          </w:p>
        </w:tc>
      </w:tr>
      <w:tr w:rsidR="00580B39" w:rsidRPr="0091228A" w14:paraId="3336CED7" w14:textId="77777777" w:rsidTr="00580B39">
        <w:tc>
          <w:tcPr>
            <w:tcW w:w="4531" w:type="dxa"/>
          </w:tcPr>
          <w:p w14:paraId="1BC662DD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t>Za sve sektore:</w:t>
            </w:r>
          </w:p>
          <w:p w14:paraId="24CB78F3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stečena znanja i iskustva dionika u provedbi </w:t>
            </w:r>
            <w:r w:rsidRPr="00275D46">
              <w:rPr>
                <w:rFonts w:cstheme="minorHAnsi"/>
                <w:sz w:val="20"/>
                <w:szCs w:val="20"/>
              </w:rPr>
              <w:t>ŽRS-</w:t>
            </w:r>
            <w:r w:rsidRPr="0091228A">
              <w:rPr>
                <w:rFonts w:cstheme="minorHAnsi"/>
                <w:sz w:val="20"/>
                <w:szCs w:val="20"/>
              </w:rPr>
              <w:t>a u pripremi i provedbi projekata financiranih iz sredstava EU-a</w:t>
            </w:r>
          </w:p>
        </w:tc>
        <w:tc>
          <w:tcPr>
            <w:tcW w:w="4531" w:type="dxa"/>
          </w:tcPr>
          <w:p w14:paraId="2CEBD2C0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cstheme="minorHAnsi"/>
                <w:b/>
                <w:sz w:val="20"/>
                <w:szCs w:val="20"/>
              </w:rPr>
            </w:pPr>
            <w:r w:rsidRPr="0091228A">
              <w:rPr>
                <w:rFonts w:cstheme="minorHAnsi"/>
                <w:b/>
                <w:sz w:val="20"/>
                <w:szCs w:val="20"/>
              </w:rPr>
              <w:t>Za sve sektore:</w:t>
            </w:r>
          </w:p>
          <w:p w14:paraId="6E00ECBC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5"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>niska razina digitalizacije javnih usluga</w:t>
            </w:r>
          </w:p>
          <w:p w14:paraId="3486D219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5"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>ograničene mogućnosti zapošljavanja</w:t>
            </w:r>
            <w:r w:rsidRPr="0091228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192E" w:rsidRPr="0072192E" w14:paraId="5C2813DE" w14:textId="77777777" w:rsidTr="0072192E">
        <w:tc>
          <w:tcPr>
            <w:tcW w:w="4531" w:type="dxa"/>
            <w:shd w:val="clear" w:color="auto" w:fill="A8D08D" w:themeFill="accent6" w:themeFillTint="99"/>
          </w:tcPr>
          <w:p w14:paraId="58A9EC10" w14:textId="77777777" w:rsidR="00580B39" w:rsidRPr="0072192E" w:rsidRDefault="00580B39" w:rsidP="00580B39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2192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PRILIKE</w:t>
            </w:r>
          </w:p>
        </w:tc>
        <w:tc>
          <w:tcPr>
            <w:tcW w:w="4531" w:type="dxa"/>
            <w:shd w:val="clear" w:color="auto" w:fill="FFC000"/>
          </w:tcPr>
          <w:p w14:paraId="09D2197A" w14:textId="77777777" w:rsidR="00580B39" w:rsidRPr="0072192E" w:rsidRDefault="00580B39" w:rsidP="00580B39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2192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PRIJETNJE</w:t>
            </w:r>
          </w:p>
        </w:tc>
      </w:tr>
      <w:tr w:rsidR="00580B39" w:rsidRPr="0091228A" w14:paraId="3857BF1C" w14:textId="77777777" w:rsidTr="00580B39">
        <w:tc>
          <w:tcPr>
            <w:tcW w:w="4531" w:type="dxa"/>
          </w:tcPr>
          <w:p w14:paraId="088F0E7C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t>Za sve sektore:</w:t>
            </w:r>
          </w:p>
          <w:p w14:paraId="732B4E8F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34" w:after="160" w:line="259" w:lineRule="auto"/>
              <w:ind w:right="70"/>
              <w:jc w:val="both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povećana dostupnost EU fondova za financiranje projekata iz ključnih razvojnih sektora </w:t>
            </w:r>
          </w:p>
          <w:p w14:paraId="5F71C7E5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1820"/>
                <w:tab w:val="left" w:pos="2140"/>
                <w:tab w:val="left" w:pos="3240"/>
                <w:tab w:val="left" w:pos="3980"/>
                <w:tab w:val="left" w:pos="4900"/>
              </w:tabs>
              <w:autoSpaceDE w:val="0"/>
              <w:autoSpaceDN w:val="0"/>
              <w:adjustRightInd w:val="0"/>
              <w:spacing w:before="5" w:after="160" w:line="228" w:lineRule="exact"/>
              <w:ind w:right="70"/>
              <w:jc w:val="both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ulaganja u obnovljive izvore energije i energetsku učinkovitost</w:t>
            </w:r>
          </w:p>
          <w:p w14:paraId="2B0E9773" w14:textId="00273B79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" w:after="160" w:line="252" w:lineRule="auto"/>
              <w:ind w:right="70"/>
              <w:jc w:val="both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unapređenje postojećih i razvoj novih javnih usluga podržanih </w:t>
            </w:r>
            <w:r w:rsidR="00C776F7">
              <w:rPr>
                <w:rFonts w:cstheme="minorHAnsi"/>
                <w:sz w:val="20"/>
                <w:szCs w:val="20"/>
              </w:rPr>
              <w:t>informacijsko-</w:t>
            </w:r>
            <w:r w:rsidR="000A0E5A">
              <w:rPr>
                <w:rFonts w:cstheme="minorHAnsi"/>
                <w:sz w:val="20"/>
                <w:szCs w:val="20"/>
              </w:rPr>
              <w:t>k</w:t>
            </w:r>
            <w:r w:rsidR="00C776F7">
              <w:rPr>
                <w:rFonts w:cstheme="minorHAnsi"/>
                <w:sz w:val="20"/>
                <w:szCs w:val="20"/>
              </w:rPr>
              <w:t>omunikacijskom tehnologijom</w:t>
            </w:r>
            <w:r w:rsidR="000A0E5A">
              <w:rPr>
                <w:rFonts w:cstheme="minorHAnsi"/>
                <w:sz w:val="20"/>
                <w:szCs w:val="20"/>
              </w:rPr>
              <w:t xml:space="preserve"> (</w:t>
            </w:r>
            <w:r w:rsidRPr="0091228A">
              <w:rPr>
                <w:rFonts w:cstheme="minorHAnsi"/>
                <w:sz w:val="20"/>
                <w:szCs w:val="20"/>
              </w:rPr>
              <w:t>IKT</w:t>
            </w:r>
            <w:r w:rsidR="000A0E5A">
              <w:rPr>
                <w:rFonts w:cstheme="minorHAnsi"/>
                <w:sz w:val="20"/>
                <w:szCs w:val="20"/>
              </w:rPr>
              <w:t>)</w:t>
            </w:r>
            <w:r w:rsidRPr="0091228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9D4E8E6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" w:after="160" w:line="255" w:lineRule="auto"/>
              <w:ind w:right="68"/>
              <w:jc w:val="both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jačanje konkurentnosti malog i srednjeg poduzetništva, poduzetničke klime i inicijativa</w:t>
            </w:r>
          </w:p>
          <w:p w14:paraId="27F79C65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" w:after="160" w:line="252" w:lineRule="auto"/>
              <w:ind w:right="69"/>
              <w:jc w:val="both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stvaranje materijalnih i drugih  preduvjeta za razvoj obrazovanja, znanstveno-istraživačkog </w:t>
            </w:r>
            <w:r w:rsidRPr="0091228A">
              <w:rPr>
                <w:rFonts w:cstheme="minorHAnsi"/>
                <w:sz w:val="20"/>
                <w:szCs w:val="20"/>
              </w:rPr>
              <w:lastRenderedPageBreak/>
              <w:t>rada povezanog s potrebama gospodarstva i centara kompetencija (područja IKT-a, metalni i drvni sektor te poljoprivreda)</w:t>
            </w:r>
          </w:p>
          <w:p w14:paraId="61378430" w14:textId="3FC190CD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"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>kori</w:t>
            </w:r>
            <w:r w:rsidR="000A0E5A">
              <w:rPr>
                <w:rFonts w:cstheme="minorHAnsi"/>
                <w:bCs/>
                <w:sz w:val="20"/>
                <w:szCs w:val="20"/>
              </w:rPr>
              <w:t>štenje</w:t>
            </w:r>
            <w:r w:rsidRPr="0091228A">
              <w:rPr>
                <w:rFonts w:cstheme="minorHAnsi"/>
                <w:bCs/>
                <w:sz w:val="20"/>
                <w:szCs w:val="20"/>
              </w:rPr>
              <w:t xml:space="preserve"> nov</w:t>
            </w:r>
            <w:r w:rsidR="000A0E5A">
              <w:rPr>
                <w:rFonts w:cstheme="minorHAnsi"/>
                <w:bCs/>
                <w:sz w:val="20"/>
                <w:szCs w:val="20"/>
              </w:rPr>
              <w:t>ih</w:t>
            </w:r>
            <w:r w:rsidRPr="0091228A">
              <w:rPr>
                <w:rFonts w:cstheme="minorHAnsi"/>
                <w:bCs/>
                <w:sz w:val="20"/>
                <w:szCs w:val="20"/>
              </w:rPr>
              <w:t xml:space="preserve"> razvojn</w:t>
            </w:r>
            <w:r w:rsidR="000A0E5A">
              <w:rPr>
                <w:rFonts w:cstheme="minorHAnsi"/>
                <w:bCs/>
                <w:sz w:val="20"/>
                <w:szCs w:val="20"/>
              </w:rPr>
              <w:t>ih</w:t>
            </w:r>
            <w:r w:rsidRPr="0091228A">
              <w:rPr>
                <w:rFonts w:cstheme="minorHAnsi"/>
                <w:bCs/>
                <w:sz w:val="20"/>
                <w:szCs w:val="20"/>
              </w:rPr>
              <w:t xml:space="preserve"> prav</w:t>
            </w:r>
            <w:r w:rsidR="006F3311">
              <w:rPr>
                <w:rFonts w:cstheme="minorHAnsi"/>
                <w:bCs/>
                <w:sz w:val="20"/>
                <w:szCs w:val="20"/>
              </w:rPr>
              <w:t>a</w:t>
            </w:r>
            <w:r w:rsidR="000A0E5A">
              <w:rPr>
                <w:rFonts w:cstheme="minorHAnsi"/>
                <w:bCs/>
                <w:sz w:val="20"/>
                <w:szCs w:val="20"/>
              </w:rPr>
              <w:t>ca</w:t>
            </w:r>
            <w:r w:rsidRPr="0091228A">
              <w:rPr>
                <w:rFonts w:cstheme="minorHAnsi"/>
                <w:bCs/>
                <w:sz w:val="20"/>
                <w:szCs w:val="20"/>
              </w:rPr>
              <w:t>, tem</w:t>
            </w:r>
            <w:r w:rsidR="000A0E5A">
              <w:rPr>
                <w:rFonts w:cstheme="minorHAnsi"/>
                <w:bCs/>
                <w:sz w:val="20"/>
                <w:szCs w:val="20"/>
              </w:rPr>
              <w:t>a</w:t>
            </w:r>
            <w:r w:rsidRPr="0091228A">
              <w:rPr>
                <w:rFonts w:cstheme="minorHAnsi"/>
                <w:bCs/>
                <w:sz w:val="20"/>
                <w:szCs w:val="20"/>
              </w:rPr>
              <w:t xml:space="preserve"> i koncep</w:t>
            </w:r>
            <w:r w:rsidR="000A0E5A">
              <w:rPr>
                <w:rFonts w:cstheme="minorHAnsi"/>
                <w:bCs/>
                <w:sz w:val="20"/>
                <w:szCs w:val="20"/>
              </w:rPr>
              <w:t>a</w:t>
            </w:r>
            <w:r w:rsidRPr="0091228A">
              <w:rPr>
                <w:rFonts w:cstheme="minorHAnsi"/>
                <w:bCs/>
                <w:sz w:val="20"/>
                <w:szCs w:val="20"/>
              </w:rPr>
              <w:t>t</w:t>
            </w:r>
            <w:r w:rsidR="000A0E5A">
              <w:rPr>
                <w:rFonts w:cstheme="minorHAnsi"/>
                <w:bCs/>
                <w:sz w:val="20"/>
                <w:szCs w:val="20"/>
              </w:rPr>
              <w:t>a</w:t>
            </w:r>
            <w:r w:rsidRPr="0091228A">
              <w:rPr>
                <w:rFonts w:cstheme="minorHAnsi"/>
                <w:bCs/>
                <w:sz w:val="20"/>
                <w:szCs w:val="20"/>
              </w:rPr>
              <w:t xml:space="preserve"> te znanja i iskustva iz okruženja za potrebe razvoja (koncept pametnih gradova, zelenih gradova, zelenog gospodarstva i zelenog turizma, srebrna ekonomija, kružno gospodarstvo, bioekonomija, otporni i pruživi gradovi itd.)</w:t>
            </w:r>
          </w:p>
          <w:p w14:paraId="29D719CE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"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>jačanje suradnje s drugim županijama na kompleksnim projektima</w:t>
            </w:r>
          </w:p>
          <w:p w14:paraId="3C05AAAF" w14:textId="06C277A9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"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 xml:space="preserve">jačanje međunarodne suradnje, na </w:t>
            </w:r>
            <w:r w:rsidR="000A0E5A">
              <w:rPr>
                <w:rFonts w:cstheme="minorHAnsi"/>
                <w:bCs/>
                <w:sz w:val="20"/>
                <w:szCs w:val="20"/>
              </w:rPr>
              <w:t xml:space="preserve">projektima </w:t>
            </w:r>
            <w:r w:rsidRPr="0091228A">
              <w:rPr>
                <w:rFonts w:cstheme="minorHAnsi"/>
                <w:bCs/>
                <w:sz w:val="20"/>
                <w:szCs w:val="20"/>
              </w:rPr>
              <w:t>EU</w:t>
            </w:r>
            <w:r w:rsidR="000A0E5A">
              <w:rPr>
                <w:rFonts w:cstheme="minorHAnsi"/>
                <w:bCs/>
                <w:sz w:val="20"/>
                <w:szCs w:val="20"/>
              </w:rPr>
              <w:t>-a</w:t>
            </w:r>
            <w:r w:rsidRPr="0091228A">
              <w:rPr>
                <w:rFonts w:cstheme="minorHAnsi"/>
                <w:bCs/>
                <w:sz w:val="20"/>
                <w:szCs w:val="20"/>
              </w:rPr>
              <w:t xml:space="preserve"> i drugim projektima</w:t>
            </w:r>
          </w:p>
          <w:p w14:paraId="4071D3EA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"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>stavljanje u funkciju imovine u državnom vlasništvu za razvojne iskorake</w:t>
            </w:r>
          </w:p>
          <w:p w14:paraId="69DB97C4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"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 xml:space="preserve">privlačenje ulagača kroz ostvarenje bolje komunikacije i administrativnih zahtjeva između države i samih ulagača </w:t>
            </w:r>
          </w:p>
          <w:p w14:paraId="2388F29E" w14:textId="1711EE31" w:rsidR="00580B39" w:rsidRPr="0091228A" w:rsidRDefault="00580B39" w:rsidP="00580B39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" w:line="259" w:lineRule="auto"/>
              <w:ind w:left="357" w:hanging="3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>povećanje konkurentnosti cijena domaćih poljoprivrednih proizvoda na tržištu</w:t>
            </w:r>
          </w:p>
        </w:tc>
        <w:tc>
          <w:tcPr>
            <w:tcW w:w="4531" w:type="dxa"/>
          </w:tcPr>
          <w:p w14:paraId="57D05CDB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Za sve sektore:</w:t>
            </w:r>
          </w:p>
          <w:p w14:paraId="6F872602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34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stalne promjene zakona i poreznog sustava – nestabilnost</w:t>
            </w:r>
          </w:p>
          <w:p w14:paraId="2EC9FC82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uto"/>
              <w:ind w:right="72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kašnjenje strategija 'više razine' na nacionalnoj razini</w:t>
            </w:r>
          </w:p>
          <w:p w14:paraId="15E8E2B8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stalne promjene u poreznim i drugim sustavima </w:t>
            </w:r>
          </w:p>
          <w:p w14:paraId="224E5801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5" w:after="160" w:line="230" w:lineRule="exact"/>
              <w:ind w:right="69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nepovoljne opcije predfinanciranja i sufinanciranja sredstava iz fondova EU-a</w:t>
            </w:r>
          </w:p>
          <w:p w14:paraId="3292E9D1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1820"/>
                <w:tab w:val="left" w:pos="2760"/>
                <w:tab w:val="left" w:pos="3160"/>
                <w:tab w:val="left" w:pos="3760"/>
                <w:tab w:val="left" w:pos="4420"/>
              </w:tabs>
              <w:autoSpaceDE w:val="0"/>
              <w:autoSpaceDN w:val="0"/>
              <w:adjustRightInd w:val="0"/>
              <w:spacing w:before="15" w:after="160" w:line="256" w:lineRule="auto"/>
              <w:ind w:right="65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mekana granica s BiH koja omogućuje nekontrolirani unos roba upitne kvalitete i narušava tržišnu utakmicu</w:t>
            </w:r>
          </w:p>
          <w:p w14:paraId="4920CD65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" w:after="160" w:line="252" w:lineRule="auto"/>
              <w:ind w:right="69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opasnost od širenja zaraze i bolesti (BPŽ je dio sanitarne granice EU-a)</w:t>
            </w:r>
          </w:p>
          <w:p w14:paraId="0A7466B3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" w:after="160" w:line="255" w:lineRule="auto"/>
              <w:ind w:right="67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lastRenderedPageBreak/>
              <w:t>veliki trgovački lanci guše male trgovce, obrtnike i poljoprivrednike</w:t>
            </w:r>
          </w:p>
          <w:p w14:paraId="2E948DB0" w14:textId="766B23E6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5"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posljedice ponovljene pandemije </w:t>
            </w:r>
            <w:r w:rsidR="00817A0F">
              <w:rPr>
                <w:rFonts w:cstheme="minorHAnsi"/>
                <w:sz w:val="20"/>
                <w:szCs w:val="20"/>
              </w:rPr>
              <w:t xml:space="preserve">bolesti </w:t>
            </w:r>
            <w:r w:rsidRPr="0091228A">
              <w:rPr>
                <w:rFonts w:cstheme="minorHAnsi"/>
                <w:sz w:val="20"/>
                <w:szCs w:val="20"/>
              </w:rPr>
              <w:t>COVID-19 ili sličnog  ugroza na gospodarstvo Županije</w:t>
            </w:r>
          </w:p>
          <w:p w14:paraId="140C564F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5"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>nepovjerenje u institucije</w:t>
            </w:r>
          </w:p>
        </w:tc>
      </w:tr>
      <w:tr w:rsidR="00580B39" w:rsidRPr="0091228A" w14:paraId="66076807" w14:textId="77777777" w:rsidTr="00580B39">
        <w:tc>
          <w:tcPr>
            <w:tcW w:w="4531" w:type="dxa"/>
          </w:tcPr>
          <w:p w14:paraId="194B67AC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Društvene djelatnosti</w:t>
            </w:r>
          </w:p>
          <w:p w14:paraId="7CD4E46F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39" w:after="160" w:line="254" w:lineRule="auto"/>
              <w:ind w:right="70"/>
              <w:jc w:val="both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razvoj novih programa obrazovanja u skladu s Hrvatskim kvalifikacijskim okvirom s ciljem povezivanja obrazovnog sustava s tržištem rada RH/EU na svim razinama obrazovanja</w:t>
            </w:r>
          </w:p>
          <w:p w14:paraId="0E4C63F3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3" w:line="254" w:lineRule="auto"/>
              <w:ind w:left="357" w:right="68" w:hanging="357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podizanje razine kvalitete socijalnih usluga i daljnji razvoj novih kroz korištenje dostupnih sredstava iz </w:t>
            </w:r>
            <w:r w:rsidRPr="00275D46">
              <w:rPr>
                <w:rFonts w:cstheme="minorHAnsi"/>
                <w:sz w:val="20"/>
                <w:szCs w:val="20"/>
              </w:rPr>
              <w:t>ESIF</w:t>
            </w:r>
            <w:r w:rsidRPr="0091228A">
              <w:rPr>
                <w:rFonts w:cstheme="minorHAnsi"/>
                <w:sz w:val="20"/>
                <w:szCs w:val="20"/>
              </w:rPr>
              <w:t>-a i nacionalnih programa</w:t>
            </w:r>
          </w:p>
          <w:p w14:paraId="40E492DB" w14:textId="7FDCE023" w:rsidR="00580B39" w:rsidRPr="0091228A" w:rsidRDefault="00580B39" w:rsidP="00580B39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3" w:line="254" w:lineRule="auto"/>
              <w:ind w:right="68"/>
              <w:jc w:val="both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moguće stipendiranje učenika prvih razreda u agro zanimanjima (agrotehničar, agroturist, ekolog, šumar, nutricionist, mehaničar poljoprivredne mehanizacije, poljoprivredni gospodarstvenik, prehrambeni tehničar, veterinar, geodeta) bitnih u budućem nastavku školovanja ili zapošljavanj</w:t>
            </w:r>
            <w:r w:rsidR="00817A0F">
              <w:rPr>
                <w:rFonts w:cstheme="minorHAnsi"/>
                <w:sz w:val="20"/>
                <w:szCs w:val="20"/>
              </w:rPr>
              <w:t>u</w:t>
            </w:r>
            <w:r w:rsidRPr="0091228A">
              <w:rPr>
                <w:rFonts w:cstheme="minorHAnsi"/>
                <w:sz w:val="20"/>
                <w:szCs w:val="20"/>
              </w:rPr>
              <w:t xml:space="preserve"> nakon srednje škole</w:t>
            </w:r>
          </w:p>
        </w:tc>
        <w:tc>
          <w:tcPr>
            <w:tcW w:w="4531" w:type="dxa"/>
          </w:tcPr>
          <w:p w14:paraId="1BE2BBD8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cstheme="minorHAnsi"/>
                <w:b/>
                <w:bCs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t>Društvene djelatnosti</w:t>
            </w:r>
          </w:p>
          <w:p w14:paraId="7B82DA8E" w14:textId="1DD49658" w:rsidR="00580B39" w:rsidRPr="0091228A" w:rsidRDefault="00580B39" w:rsidP="0013560E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5"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posljedice ponovljene pandemije </w:t>
            </w:r>
            <w:r w:rsidR="00281D97">
              <w:rPr>
                <w:rFonts w:cstheme="minorHAnsi"/>
                <w:sz w:val="20"/>
                <w:szCs w:val="20"/>
              </w:rPr>
              <w:t xml:space="preserve">bolesti </w:t>
            </w:r>
            <w:r w:rsidRPr="0091228A">
              <w:rPr>
                <w:rFonts w:cstheme="minorHAnsi"/>
                <w:sz w:val="20"/>
                <w:szCs w:val="20"/>
              </w:rPr>
              <w:t xml:space="preserve">COVID-19 ili sličnog  ugroza na društvene sektore Županije, a poglavito </w:t>
            </w:r>
            <w:r w:rsidR="00281D97">
              <w:rPr>
                <w:rFonts w:cstheme="minorHAnsi"/>
                <w:sz w:val="20"/>
                <w:szCs w:val="20"/>
              </w:rPr>
              <w:t xml:space="preserve">na </w:t>
            </w:r>
            <w:r w:rsidRPr="0091228A">
              <w:rPr>
                <w:rFonts w:cstheme="minorHAnsi"/>
                <w:sz w:val="20"/>
                <w:szCs w:val="20"/>
              </w:rPr>
              <w:t>zdravstvo, palijativnu skrb i obrazovanje</w:t>
            </w:r>
          </w:p>
        </w:tc>
      </w:tr>
      <w:tr w:rsidR="00580B39" w:rsidRPr="0091228A" w14:paraId="54B7F584" w14:textId="77777777" w:rsidTr="00580B39">
        <w:tc>
          <w:tcPr>
            <w:tcW w:w="4531" w:type="dxa"/>
          </w:tcPr>
          <w:p w14:paraId="452ECADB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t>Gospodarstvo</w:t>
            </w:r>
          </w:p>
          <w:p w14:paraId="2F290622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29" w:lineRule="exact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privlačenje selektivnih stranih ulaganja</w:t>
            </w:r>
          </w:p>
          <w:p w14:paraId="53DD0045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0" w:after="160" w:line="255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rast trendova u povezivanju poljoprivrede, turizma i nepoljoprivrednih djelatnosti</w:t>
            </w:r>
          </w:p>
          <w:p w14:paraId="60604090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očuvanje tradicionalnih zanimanja </w:t>
            </w:r>
          </w:p>
          <w:p w14:paraId="6799CAEC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2160"/>
                <w:tab w:val="left" w:pos="3460"/>
                <w:tab w:val="left" w:pos="4900"/>
              </w:tabs>
              <w:autoSpaceDE w:val="0"/>
              <w:autoSpaceDN w:val="0"/>
              <w:adjustRightInd w:val="0"/>
              <w:spacing w:before="19" w:after="160" w:line="254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poticanje neformalnog udruživanja regionalnih turističkih zajednica u svim promotivnim i PR aktivnostima</w:t>
            </w:r>
          </w:p>
        </w:tc>
        <w:tc>
          <w:tcPr>
            <w:tcW w:w="4531" w:type="dxa"/>
          </w:tcPr>
          <w:p w14:paraId="120AAE2F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cstheme="minorHAnsi"/>
                <w:b/>
                <w:bCs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t>Gospodarstvo</w:t>
            </w:r>
          </w:p>
          <w:p w14:paraId="3EC8EA83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5"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>zahtjevan komplicirani sustav prijava za  fondove EU-a</w:t>
            </w:r>
          </w:p>
          <w:p w14:paraId="3CD9683A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5"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 xml:space="preserve">utjecaj pandemije uzrokovane koronavirusom na razvoj gospodarstva </w:t>
            </w:r>
          </w:p>
          <w:p w14:paraId="7B803B3B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5"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>nedovoljni poticaji/potpore na nacionalnoj razini za poduzetnike početnike</w:t>
            </w:r>
          </w:p>
          <w:p w14:paraId="016D2F30" w14:textId="24561ED3" w:rsidR="00580B39" w:rsidRPr="0091228A" w:rsidRDefault="00580B39" w:rsidP="00917731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5"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91228A">
              <w:rPr>
                <w:rFonts w:cstheme="minorHAnsi"/>
                <w:bCs/>
                <w:sz w:val="20"/>
                <w:szCs w:val="20"/>
              </w:rPr>
              <w:t xml:space="preserve">postupci javne nabave nisu prilagođeni poslovanju </w:t>
            </w:r>
            <w:r w:rsidRPr="00917731">
              <w:rPr>
                <w:rFonts w:cstheme="minorHAnsi"/>
                <w:bCs/>
                <w:sz w:val="20"/>
                <w:szCs w:val="20"/>
              </w:rPr>
              <w:t>poduzetnika i previše kompliciran</w:t>
            </w:r>
            <w:r w:rsidR="00917731" w:rsidRPr="00917731">
              <w:rPr>
                <w:rFonts w:cstheme="minorHAnsi"/>
                <w:bCs/>
                <w:sz w:val="20"/>
                <w:szCs w:val="20"/>
              </w:rPr>
              <w:t>i</w:t>
            </w:r>
          </w:p>
        </w:tc>
      </w:tr>
      <w:tr w:rsidR="00580B39" w:rsidRPr="0091228A" w14:paraId="20681DAE" w14:textId="77777777" w:rsidTr="00580B39">
        <w:tc>
          <w:tcPr>
            <w:tcW w:w="4531" w:type="dxa"/>
          </w:tcPr>
          <w:p w14:paraId="3052A1D2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spacing w:before="34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t>Komunalna infrastruktura i okoliš</w:t>
            </w:r>
          </w:p>
          <w:p w14:paraId="6D16C490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2320"/>
                <w:tab w:val="left" w:pos="3680"/>
              </w:tabs>
              <w:autoSpaceDE w:val="0"/>
              <w:autoSpaceDN w:val="0"/>
              <w:adjustRightInd w:val="0"/>
              <w:spacing w:before="71" w:after="160" w:line="255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mogućnost korištenja intermodalnog transporta (cestovni, željeznički, vodeni)</w:t>
            </w:r>
          </w:p>
          <w:p w14:paraId="1D7FA8E6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" w:after="160" w:line="254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mogućnost korištenja plovnog puta rijekom </w:t>
            </w:r>
            <w:r w:rsidRPr="0091228A">
              <w:rPr>
                <w:rFonts w:cstheme="minorHAnsi"/>
                <w:sz w:val="20"/>
                <w:szCs w:val="20"/>
              </w:rPr>
              <w:lastRenderedPageBreak/>
              <w:t>Savom pod pretpostavkom da se osigura plovnost (s nacionalne razine)</w:t>
            </w:r>
          </w:p>
          <w:p w14:paraId="457F3847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31"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jačanje prometne infrastrukture i izgradnja sustava navodnjavanja kroz izgradnju kanala Dunav - Sava</w:t>
            </w:r>
          </w:p>
          <w:p w14:paraId="3C9EC287" w14:textId="77777777" w:rsidR="00580B39" w:rsidRPr="0091228A" w:rsidRDefault="00580B39" w:rsidP="0036389B">
            <w:pPr>
              <w:pStyle w:val="Odlomakpopis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uspostava centra za gospodarenje otpadom</w:t>
            </w:r>
          </w:p>
        </w:tc>
        <w:tc>
          <w:tcPr>
            <w:tcW w:w="4531" w:type="dxa"/>
          </w:tcPr>
          <w:p w14:paraId="31997A81" w14:textId="77777777" w:rsidR="00580B39" w:rsidRPr="0091228A" w:rsidRDefault="00580B39" w:rsidP="00580B39">
            <w:pPr>
              <w:widowControl w:val="0"/>
              <w:autoSpaceDE w:val="0"/>
              <w:autoSpaceDN w:val="0"/>
              <w:adjustRightInd w:val="0"/>
              <w:spacing w:before="34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Komunalna infrastruktura i okoliš</w:t>
            </w:r>
          </w:p>
          <w:p w14:paraId="67FD68F3" w14:textId="390D4EEF" w:rsidR="00580B39" w:rsidRPr="0091228A" w:rsidRDefault="00580B39" w:rsidP="0036389B">
            <w:pPr>
              <w:pStyle w:val="Odlomakpopisa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 xml:space="preserve">onečišćenje zraka iz rafinerije </w:t>
            </w:r>
            <w:r w:rsidR="00D33B8D">
              <w:rPr>
                <w:rFonts w:cstheme="minorHAnsi"/>
                <w:sz w:val="20"/>
                <w:szCs w:val="20"/>
              </w:rPr>
              <w:t xml:space="preserve">u </w:t>
            </w:r>
            <w:r w:rsidRPr="0091228A">
              <w:rPr>
                <w:rFonts w:cstheme="minorHAnsi"/>
                <w:sz w:val="20"/>
                <w:szCs w:val="20"/>
              </w:rPr>
              <w:t>Bosansko</w:t>
            </w:r>
            <w:r w:rsidR="00D33B8D">
              <w:rPr>
                <w:rFonts w:cstheme="minorHAnsi"/>
                <w:sz w:val="20"/>
                <w:szCs w:val="20"/>
              </w:rPr>
              <w:t>m</w:t>
            </w:r>
            <w:r w:rsidRPr="0091228A">
              <w:rPr>
                <w:rFonts w:cstheme="minorHAnsi"/>
                <w:sz w:val="20"/>
                <w:szCs w:val="20"/>
              </w:rPr>
              <w:t xml:space="preserve"> Brod</w:t>
            </w:r>
            <w:r w:rsidR="00D33B8D">
              <w:rPr>
                <w:rFonts w:cstheme="minorHAnsi"/>
                <w:sz w:val="20"/>
                <w:szCs w:val="20"/>
              </w:rPr>
              <w:t>u</w:t>
            </w:r>
          </w:p>
          <w:p w14:paraId="7FB0140E" w14:textId="77777777" w:rsidR="00580B39" w:rsidRPr="0091228A" w:rsidRDefault="00580B39" w:rsidP="0036389B">
            <w:pPr>
              <w:pStyle w:val="Odlomakpopisa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lastRenderedPageBreak/>
              <w:t>česte elementarne  nepogode - klizišta, poplave i bujice</w:t>
            </w:r>
          </w:p>
          <w:p w14:paraId="20FE5EDD" w14:textId="77777777" w:rsidR="00580B39" w:rsidRPr="0091228A" w:rsidRDefault="00580B39" w:rsidP="0036389B">
            <w:pPr>
              <w:pStyle w:val="Odlomakpopisa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1228A">
              <w:rPr>
                <w:rFonts w:cstheme="minorHAnsi"/>
                <w:sz w:val="20"/>
                <w:szCs w:val="20"/>
              </w:rPr>
              <w:t>klimatske promjene</w:t>
            </w:r>
          </w:p>
          <w:p w14:paraId="598A0ED6" w14:textId="77777777" w:rsidR="00580B39" w:rsidRPr="0091228A" w:rsidRDefault="00580B39" w:rsidP="00580B39">
            <w:pPr>
              <w:pStyle w:val="Odlomakpopisa"/>
              <w:widowControl w:val="0"/>
              <w:autoSpaceDE w:val="0"/>
              <w:autoSpaceDN w:val="0"/>
              <w:adjustRightInd w:val="0"/>
              <w:spacing w:before="25"/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547724D" w14:textId="2425CE45" w:rsidR="00580B39" w:rsidRDefault="00580B39" w:rsidP="00580B39"/>
    <w:p w14:paraId="580A278C" w14:textId="77777777" w:rsidR="00580B39" w:rsidRPr="0091228A" w:rsidRDefault="00580B39" w:rsidP="00580B39">
      <w:pPr>
        <w:jc w:val="both"/>
        <w:rPr>
          <w:rFonts w:cstheme="minorHAnsi"/>
          <w:color w:val="202122"/>
          <w:shd w:val="clear" w:color="auto" w:fill="FFFFFF"/>
        </w:rPr>
      </w:pPr>
      <w:r w:rsidRPr="0091228A">
        <w:rPr>
          <w:rFonts w:cstheme="minorHAnsi"/>
          <w:color w:val="202122"/>
          <w:shd w:val="clear" w:color="auto" w:fill="FFFFFF"/>
        </w:rPr>
        <w:t xml:space="preserve">Najveća snaga Brodsko-posavske županije, prepoznata analizom stanja, su stečena znanja i iskustva dionika u provedbi ŽRS-a u pripremi i provedbi projekata financiranih iz sredstava EU-a, dok su općenite slabosti niska razina digitalizacije javnih usluga te ograničena mogućnost zapošljavanja. </w:t>
      </w:r>
    </w:p>
    <w:p w14:paraId="189C07B8" w14:textId="3C826FF0" w:rsidR="00580B39" w:rsidRPr="0091228A" w:rsidRDefault="00580B39" w:rsidP="00580B39">
      <w:pPr>
        <w:jc w:val="both"/>
        <w:rPr>
          <w:rFonts w:cstheme="minorHAnsi"/>
          <w:color w:val="202122"/>
          <w:shd w:val="clear" w:color="auto" w:fill="FFFFFF"/>
        </w:rPr>
      </w:pPr>
      <w:r w:rsidRPr="0091228A">
        <w:rPr>
          <w:rFonts w:cstheme="minorHAnsi"/>
          <w:color w:val="202122"/>
          <w:shd w:val="clear" w:color="auto" w:fill="FFFFFF"/>
        </w:rPr>
        <w:t xml:space="preserve">Pozitivni eksterni čimbenici, prilike </w:t>
      </w:r>
      <w:r w:rsidR="00FB196E">
        <w:rPr>
          <w:rFonts w:cstheme="minorHAnsi"/>
          <w:color w:val="202122"/>
          <w:shd w:val="clear" w:color="auto" w:fill="FFFFFF"/>
        </w:rPr>
        <w:t xml:space="preserve">u </w:t>
      </w:r>
      <w:r w:rsidRPr="0091228A">
        <w:rPr>
          <w:rFonts w:cstheme="minorHAnsi"/>
          <w:color w:val="202122"/>
          <w:shd w:val="clear" w:color="auto" w:fill="FFFFFF"/>
        </w:rPr>
        <w:t>svim sektorima BPŽ-a</w:t>
      </w:r>
      <w:r w:rsidR="00FB196E">
        <w:rPr>
          <w:rFonts w:cstheme="minorHAnsi"/>
          <w:color w:val="202122"/>
          <w:shd w:val="clear" w:color="auto" w:fill="FFFFFF"/>
        </w:rPr>
        <w:t>,</w:t>
      </w:r>
      <w:r w:rsidRPr="0091228A">
        <w:rPr>
          <w:rFonts w:cstheme="minorHAnsi"/>
          <w:color w:val="202122"/>
          <w:shd w:val="clear" w:color="auto" w:fill="FFFFFF"/>
        </w:rPr>
        <w:t xml:space="preserve"> uključuju povećanu dostupnost fondova EU-a za financiranje projekata iz ključnih razvojnih sektora, ulaganja u obnovljive izvore energije kojima je Brodsko-posavska županija iznimno bogata, kao i ulaganje u energetsku učinkovitost, unapređenje postojećih i razvoj novih javnih usluga podržanih IKT-om. Nadalje, jačanje konkurentnosti malog i srednjeg poduzetništva, poduzetničke klime i inicijative predstavljaju priliku za smanjivanje „odljeva mozgova“, kao i stvaranje materijalnih i drugih preduvjeta za razvoj obrazovanja, znanstveno-istraživačkog rada povezanog s potrebama gospodarstva i centara kompetencija. Prepoznata je prilika novih razvojnih pravaca, tema i koncepata te znanja i iskustva iz okruženja za potrebe razvoja koju je potrebno iskoristiti, a odnosi se na koncept pametnih gradova, zelenih gradova, zelenog gospodarstva i zelenog turizma, srebrnu ekonomiju, kružno gospodarstvo, bioekonomiju te otporne i pružive gradove. Također, eksterni čimbenici koji mogu pozitivno utjecati na razvoj BPŽ-a uključuju jačanje suradnje s drugim županijama na kompleksnim </w:t>
      </w:r>
      <w:r w:rsidR="00FB196E">
        <w:rPr>
          <w:rFonts w:cstheme="minorHAnsi"/>
          <w:color w:val="202122"/>
          <w:shd w:val="clear" w:color="auto" w:fill="FFFFFF"/>
        </w:rPr>
        <w:t>područjima</w:t>
      </w:r>
      <w:r w:rsidRPr="0091228A">
        <w:rPr>
          <w:rFonts w:cstheme="minorHAnsi"/>
          <w:color w:val="202122"/>
          <w:shd w:val="clear" w:color="auto" w:fill="FFFFFF"/>
        </w:rPr>
        <w:t xml:space="preserve">, kao i jačanje međunarodne suradnje na projektima EU-a i drugim projektima. Ostale prilike u narednom razdoblju za BPŽ proizlaze iz imovine u državnom vlasništvu koju je potrebno staviti u funkciju za </w:t>
      </w:r>
      <w:r w:rsidR="00A052A9">
        <w:rPr>
          <w:rFonts w:cstheme="minorHAnsi"/>
          <w:color w:val="202122"/>
          <w:shd w:val="clear" w:color="auto" w:fill="FFFFFF"/>
        </w:rPr>
        <w:t xml:space="preserve">postizanje </w:t>
      </w:r>
      <w:r w:rsidRPr="0091228A">
        <w:rPr>
          <w:rFonts w:cstheme="minorHAnsi"/>
          <w:color w:val="202122"/>
          <w:shd w:val="clear" w:color="auto" w:fill="FFFFFF"/>
        </w:rPr>
        <w:t>razvojn</w:t>
      </w:r>
      <w:r w:rsidR="00A052A9">
        <w:rPr>
          <w:rFonts w:cstheme="minorHAnsi"/>
          <w:color w:val="202122"/>
          <w:shd w:val="clear" w:color="auto" w:fill="FFFFFF"/>
        </w:rPr>
        <w:t>ih</w:t>
      </w:r>
      <w:r w:rsidRPr="0091228A">
        <w:rPr>
          <w:rFonts w:cstheme="minorHAnsi"/>
          <w:color w:val="202122"/>
          <w:shd w:val="clear" w:color="auto" w:fill="FFFFFF"/>
        </w:rPr>
        <w:t xml:space="preserve"> iskorak</w:t>
      </w:r>
      <w:r w:rsidR="00A052A9">
        <w:rPr>
          <w:rFonts w:cstheme="minorHAnsi"/>
          <w:color w:val="202122"/>
          <w:shd w:val="clear" w:color="auto" w:fill="FFFFFF"/>
        </w:rPr>
        <w:t>a.</w:t>
      </w:r>
      <w:r w:rsidRPr="0091228A">
        <w:rPr>
          <w:rFonts w:cstheme="minorHAnsi"/>
          <w:color w:val="202122"/>
          <w:shd w:val="clear" w:color="auto" w:fill="FFFFFF"/>
        </w:rPr>
        <w:t xml:space="preserve"> </w:t>
      </w:r>
      <w:r w:rsidR="00A052A9">
        <w:rPr>
          <w:rFonts w:cstheme="minorHAnsi"/>
          <w:color w:val="202122"/>
          <w:shd w:val="clear" w:color="auto" w:fill="FFFFFF"/>
        </w:rPr>
        <w:t>Tu</w:t>
      </w:r>
      <w:r w:rsidRPr="0091228A">
        <w:rPr>
          <w:rFonts w:cstheme="minorHAnsi"/>
          <w:color w:val="202122"/>
          <w:shd w:val="clear" w:color="auto" w:fill="FFFFFF"/>
        </w:rPr>
        <w:t xml:space="preserve"> su i strani ulagači koje je moguće privući ostvarivanjem bolje komunikacije i administrativnih zahtjeva između države i samih ulagača, te povećanje konkurentnosti cijena domaćih poljoprivrednih proizvoda na tržištu.</w:t>
      </w:r>
    </w:p>
    <w:p w14:paraId="34E0D9DD" w14:textId="5C35DA7B" w:rsidR="00580B39" w:rsidRPr="0091228A" w:rsidRDefault="00580B39" w:rsidP="00580B39">
      <w:pPr>
        <w:jc w:val="both"/>
        <w:rPr>
          <w:rFonts w:cstheme="minorHAnsi"/>
          <w:color w:val="202122"/>
          <w:shd w:val="clear" w:color="auto" w:fill="FFFFFF"/>
        </w:rPr>
      </w:pPr>
      <w:r w:rsidRPr="0091228A">
        <w:rPr>
          <w:rFonts w:cstheme="minorHAnsi"/>
          <w:color w:val="202122"/>
          <w:shd w:val="clear" w:color="auto" w:fill="FFFFFF"/>
        </w:rPr>
        <w:t xml:space="preserve">Prijetnje s kojima se suočavaju svi sektori Brodsko-posavske županije uključuju stalne promjene zakona, stalne promjene u poreznim i drugim sustavima, odnosno njihova nestabilnost, nepovjerenje u institucije, kašnjenje strategija „više razine“ na nacionalnoj razini, nepovoljne opcije predfinanciranja i sufinanciranja sredstava iz fondova EU-a te struktura gospodarstva RH koju karakteriziraju veliki trgovački lanci koji guše male trgovce, obrtnike i poljoprivrednike. Geografski položaj BPŽ-a razlog je prijetnji koju predstavlja mekana granica s BiH koja omogućuje nekontroliran unos roba upitne kvalitete i narušava tržišnu utakmicu. Također, geografski položaj, odnosno činjenica da je BPŽ dio sanitarne granice EU-a, naglašava opasnost od širenja zaraze i bolesti, a eksterni čimbenik koji može utjecati na gospodarstvo BPŽ-a je i ponovljena pandemija </w:t>
      </w:r>
      <w:r w:rsidR="002B65CE">
        <w:rPr>
          <w:rFonts w:cstheme="minorHAnsi"/>
          <w:color w:val="202122"/>
          <w:shd w:val="clear" w:color="auto" w:fill="FFFFFF"/>
        </w:rPr>
        <w:t xml:space="preserve">bolesti </w:t>
      </w:r>
      <w:r w:rsidRPr="0091228A">
        <w:rPr>
          <w:rFonts w:cstheme="minorHAnsi"/>
          <w:color w:val="202122"/>
          <w:shd w:val="clear" w:color="auto" w:fill="FFFFFF"/>
        </w:rPr>
        <w:t>COVID-19 ili slična ugroza.</w:t>
      </w:r>
    </w:p>
    <w:p w14:paraId="3112B9B8" w14:textId="4C51A1BB" w:rsidR="00580B39" w:rsidRPr="0091228A" w:rsidRDefault="00580B39" w:rsidP="00580B39">
      <w:pPr>
        <w:jc w:val="both"/>
      </w:pPr>
      <w:r w:rsidRPr="00EC75EE">
        <w:rPr>
          <w:b/>
          <w:bCs/>
        </w:rPr>
        <w:t>Snage društvenih djelatnosti</w:t>
      </w:r>
      <w:r w:rsidRPr="0091228A">
        <w:t xml:space="preserve"> Brodsko-posavske županije predstavljaju brojne organizacije civilnog društva, razvijena obrazovno-odgojna infrastruktura, izgradnja </w:t>
      </w:r>
      <w:r w:rsidRPr="00917731">
        <w:t xml:space="preserve">Regionalnog centra kompetentnosti za koji je nositelj projekta Tehnička škola Slavonski </w:t>
      </w:r>
      <w:r w:rsidR="002B65CE" w:rsidRPr="00917731">
        <w:t>B</w:t>
      </w:r>
      <w:r w:rsidRPr="00917731">
        <w:t>rod, centra kompeten</w:t>
      </w:r>
      <w:r w:rsidR="00917731" w:rsidRPr="00917731">
        <w:t xml:space="preserve">tnosti </w:t>
      </w:r>
      <w:r w:rsidRPr="00917731">
        <w:t>Slavonski Šamac, Sveučilište u Slavonskom Brodu</w:t>
      </w:r>
      <w:r w:rsidR="002B65CE" w:rsidRPr="00917731">
        <w:t>,</w:t>
      </w:r>
      <w:r w:rsidRPr="00917731">
        <w:t xml:space="preserve"> te inovativne udruge i rad s mladima.</w:t>
      </w:r>
    </w:p>
    <w:p w14:paraId="366B97CB" w14:textId="77777777" w:rsidR="00580B39" w:rsidRPr="0091228A" w:rsidRDefault="00580B39" w:rsidP="00580B39">
      <w:pPr>
        <w:jc w:val="both"/>
      </w:pPr>
      <w:r w:rsidRPr="00EC75EE">
        <w:rPr>
          <w:b/>
          <w:bCs/>
        </w:rPr>
        <w:t>Slabosti društvenih djelatnosti</w:t>
      </w:r>
      <w:r w:rsidRPr="0091228A">
        <w:t xml:space="preserve"> na području Županije proizlaze iz neaktivnosti udruga civilnog društva i njihove financijske nestabilnosti, nedostatnih fiskalnih kapaciteta BPŽ-a za aktivniju socijalnu politiku, primjerice deinstitucionalizaciju, socijalne inovacije i slično, kao i pomanjkanja entuzijazma kod stanovnika, poglavito mladih. Interni čimbenici koju utječu na kvalitetu društvenih djelatnosti su i starenje i iseljavanje stanovništva, pogotovo u ruralnim sredinama, depopulacija mladih, nedovoljni i neadekvatni kapaciteti za skrb o starijima i nemoćnima, u prvom redu u ruralnim sredinama, nizak životni standard stanovnika ruralnih područja te ovisnost o socijalnoj pomoći u tim područjima. </w:t>
      </w:r>
    </w:p>
    <w:p w14:paraId="58AB1951" w14:textId="13B9C8EB" w:rsidR="00580B39" w:rsidRPr="0091228A" w:rsidRDefault="00580B39" w:rsidP="00580B39">
      <w:pPr>
        <w:jc w:val="both"/>
      </w:pPr>
      <w:r w:rsidRPr="00EC75EE">
        <w:rPr>
          <w:b/>
          <w:bCs/>
        </w:rPr>
        <w:lastRenderedPageBreak/>
        <w:t>Prilike za razvoj društvenih djelatnosti</w:t>
      </w:r>
      <w:r w:rsidRPr="0091228A">
        <w:t xml:space="preserve"> na području BPŽ-a su razvoj novih programa obrazovanja u skladu s Hrvatskim kvalifikacijskim okvirom s ciljem povezivanja obrazovnog sustava s tržištem rada RH/EU na svim razinama obrazovanja, te podizanje razine kvalitete socijalnih usluga i daljnji razvoj novih korištenjem dostupnih sredstava iz ESIF-a i nacionalnih programa. Prijetnju društvenim djelatnostima BPŽ-a predstavljaju posljedice ponovljene pandemije </w:t>
      </w:r>
      <w:r w:rsidR="00953264">
        <w:t xml:space="preserve">bolesti </w:t>
      </w:r>
      <w:r w:rsidRPr="0091228A">
        <w:t xml:space="preserve">COVID-19 ili slične ugroze na društvene sektore Županije, a poglavito </w:t>
      </w:r>
      <w:r w:rsidR="00953264">
        <w:t xml:space="preserve">na </w:t>
      </w:r>
      <w:r w:rsidRPr="0091228A">
        <w:t>zdravstvo, palijativnu skrb i obrazovanje.</w:t>
      </w:r>
    </w:p>
    <w:p w14:paraId="36F718B6" w14:textId="57465394" w:rsidR="00580B39" w:rsidRPr="0091228A" w:rsidRDefault="00580B39" w:rsidP="00580B39">
      <w:pPr>
        <w:jc w:val="both"/>
      </w:pPr>
      <w:r w:rsidRPr="00EC75EE">
        <w:rPr>
          <w:b/>
          <w:bCs/>
        </w:rPr>
        <w:t>Interni čimbenici koji opisuju gospodarstvo BPŽ-a</w:t>
      </w:r>
      <w:r w:rsidRPr="0091228A">
        <w:t>, odnosno snage gospodarstva Županije su dostupnost poduzetničke infrastrukture, postojanje poduzetničko-potpornih institucija i njihova dobra geografska raspoređenost, postojeći resursi pogodni za razvoj turizma, postojanje lovišta, bogata kulturna baština i tradicija te prirodni resursi i biološka raznolikost (8 zaštićenih područja na prostoru Županije te velik dio teritorija pokriven projekt</w:t>
      </w:r>
      <w:r w:rsidR="00953264">
        <w:t>om</w:t>
      </w:r>
      <w:r w:rsidRPr="0091228A">
        <w:t xml:space="preserve"> NATURA 2000). Gospodarstvo BPŽ-a karakteriziraju i razmjerno niski </w:t>
      </w:r>
      <w:r w:rsidRPr="0091228A">
        <w:rPr>
          <w:i/>
          <w:iCs/>
        </w:rPr>
        <w:t>start-up</w:t>
      </w:r>
      <w:r w:rsidRPr="0091228A">
        <w:t xml:space="preserve"> troškovi, dostupnost sirovina za razvoj bioekonomije, povoljan geografski položaj, postojanje 3 LAG-a s donesenim lokalnim razvojnim strategijama do 2020. i odobrenim financiranjem, te postojanje dvije razvojne agencije.</w:t>
      </w:r>
    </w:p>
    <w:p w14:paraId="407BC141" w14:textId="54C1D4E3" w:rsidR="00580B39" w:rsidRPr="0091228A" w:rsidRDefault="00580B39" w:rsidP="00580B39">
      <w:pPr>
        <w:jc w:val="both"/>
      </w:pPr>
      <w:r w:rsidRPr="00EC75EE">
        <w:rPr>
          <w:b/>
          <w:bCs/>
        </w:rPr>
        <w:t>Slabosti gospodarstva BPŽ-a</w:t>
      </w:r>
      <w:r w:rsidRPr="0091228A">
        <w:t xml:space="preserve"> su manjak poduzetničke klime, nedovoljno subvencioniranje i nedovoljna bespovratna sredstva za otvaranje novih i širenje postojećih gospodarskih subjekata, izostanak sektorskih strateških razvojnih dokumenata u ključnim područjima gospodarstva, neusklađenost obrazovnog sustava i potreba tržišta rada, slaba turistička ponuda i infrastruktura te neiskorištenost turističkih zona. Karakteristike </w:t>
      </w:r>
      <w:r w:rsidR="003936FA">
        <w:t xml:space="preserve"> </w:t>
      </w:r>
      <w:r w:rsidRPr="0091228A">
        <w:t xml:space="preserve">gospodarstva BPŽ-a uključuju i nedovoljnu prepoznatljivost (brendiranje) turističkih proizvoda i usluga, manjak tradicionalnih poljoprivrednika i eko-proizvodnje, nepopunjene industrijske zone, nekonkurentnost proizvodnog sektora, zastarjele tehnologije te niska razina ulaganja u istraživanje i razvoj. Slabosti gospodarstva su i nedovoljna poduzetnička znanja, nedovoljna informatička pismenost i poznavanje stranih jezika, manjak udruživanja u klastere, usitnjenost i nepovezanost poljoprivrednog zemljišta, siva ekonomija te nepovjerenje i nespremnost građana za investiranje. </w:t>
      </w:r>
    </w:p>
    <w:p w14:paraId="66B1AADC" w14:textId="40014994" w:rsidR="00580B39" w:rsidRPr="0091228A" w:rsidRDefault="00580B39" w:rsidP="00580B39">
      <w:pPr>
        <w:jc w:val="both"/>
      </w:pPr>
      <w:r w:rsidRPr="00EC75EE">
        <w:rPr>
          <w:b/>
          <w:bCs/>
        </w:rPr>
        <w:t>Prilike razvoja gospodarstva BPŽ-a</w:t>
      </w:r>
      <w:r w:rsidRPr="0091228A">
        <w:t xml:space="preserve"> su privlačenje selektivnih stranih ulaganja, rast trendova u povezivanju poljoprivrede, turizma i nepoljoprivrednih djelatnosti, očuvanje tradicionalnih zanimanja, aktiviranje postojećih poduzetničkih zona i „</w:t>
      </w:r>
      <w:r w:rsidRPr="0091228A">
        <w:rPr>
          <w:i/>
        </w:rPr>
        <w:t>brownfield</w:t>
      </w:r>
      <w:r w:rsidRPr="0091228A">
        <w:t xml:space="preserve">“ područja od faze prostornih planova do faze korištenja, potencijal razvoja zadružnog oblika poslovanja i drugih oblika udruživanja te neformalno udruživanje regionalnih turističkih zajednica u svim promotivnim aktivnostima. </w:t>
      </w:r>
      <w:r w:rsidR="006C48F5">
        <w:t xml:space="preserve">  </w:t>
      </w:r>
      <w:r w:rsidRPr="0091228A">
        <w:t>Prijetnja iskorištavanj</w:t>
      </w:r>
      <w:r w:rsidR="001510D5">
        <w:t>u</w:t>
      </w:r>
      <w:r w:rsidRPr="0091228A">
        <w:t xml:space="preserve"> prilika koje se pružaju za razvoj gospodarstva Županije proizlazi iz zahtjevnog i kompliciranog sustava prijava za fondove EU-a.</w:t>
      </w:r>
    </w:p>
    <w:p w14:paraId="48F4A85E" w14:textId="77777777" w:rsidR="00580B39" w:rsidRPr="0091228A" w:rsidRDefault="00580B39" w:rsidP="00580B39">
      <w:pPr>
        <w:jc w:val="both"/>
      </w:pPr>
      <w:r w:rsidRPr="00EC75EE">
        <w:rPr>
          <w:b/>
          <w:bCs/>
        </w:rPr>
        <w:t>Snage koje karakteriziraju komunalnu infrastrukturu i okoliš</w:t>
      </w:r>
      <w:r w:rsidRPr="0091228A">
        <w:t xml:space="preserve"> Brodsko-posavske županije su očuvani okoliš, relativno razvijena komunalna infrastruktura, koja se odnosi na sustav vodoopskrbe, plinsku mrežu, lokalne ceste, javnu rasvjetu i slično, relativno zadovoljavajući sustav vodoopskrbe, doneseni prostorni planovi za sve jedinice lokalne i regionalne samouprave. Također, snage sektora u BPŽ-u su i relativno razvijena županijska i međužupanijska cestovna infrastruktura, relativno zadovoljavajuća plinska mreža te vodni potencijal. </w:t>
      </w:r>
    </w:p>
    <w:p w14:paraId="6CEBEDF2" w14:textId="77777777" w:rsidR="00580B39" w:rsidRPr="0091228A" w:rsidRDefault="00580B39" w:rsidP="00580B39">
      <w:pPr>
        <w:jc w:val="both"/>
      </w:pPr>
      <w:r w:rsidRPr="00EC75EE">
        <w:rPr>
          <w:b/>
          <w:bCs/>
        </w:rPr>
        <w:t>Slabosti u području komunalne infrastrukture i okoliša</w:t>
      </w:r>
      <w:r w:rsidRPr="0091228A">
        <w:t xml:space="preserve"> predstavljaju nefunkcionalnost sustava gospodarenja otpadom, nedostatak sustava nadzora i kažnjavanja za nedopušteno odlaganje otpada, neodrživost reciklažnih dvorišta, smanjenje šumskog fonda, porast divljih deponija, nedostatno razvijen sustav kanalizacije i odvodnje te nerazvijena ekološka svijest građana. Karakteristike komunalne infrastrukture i okoliša BPŽ-a su i neprepoznatost prirodnih resursa kao izvora za razvoj, nedostatak spojnih i obilaznih cesta oko gradskih i većih općinskih središta, nedovoljno korištenje obnovljivih izvora energije (biomasa), neprepoznatost prirodnih resursa te nedovoljno razvijeni sustavi obrane od elementarnih nepogoda. Slabosti sektora su i neriješeni imovinsko-pravni odnosi i zemljišne knjige, zastarjela željeznička infrastruktura i nezadovoljavajuća dinamika modernizacije, zastarjeli vozni park u javnom prijevozu koji ugrožava sigurnost putnika te neadekvatno razvijen širokopojasni Internet koji ne pokriva cijelu Brodsko-posavsku županiju.</w:t>
      </w:r>
    </w:p>
    <w:p w14:paraId="321447EA" w14:textId="77777777" w:rsidR="00580B39" w:rsidRPr="0091228A" w:rsidRDefault="00580B39" w:rsidP="00580B39">
      <w:pPr>
        <w:jc w:val="both"/>
      </w:pPr>
      <w:r w:rsidRPr="00EC75EE">
        <w:rPr>
          <w:b/>
          <w:bCs/>
        </w:rPr>
        <w:lastRenderedPageBreak/>
        <w:t>Prilike koje se pružaju sektoru komunalne infrastrukture i okoliša</w:t>
      </w:r>
      <w:r w:rsidRPr="0091228A">
        <w:t xml:space="preserve"> su mogućnost korištenja intermodalnog transporta, mogućnost korištenja plovnog puta rijekom Savom pod pretpostavkom da se osigura plovnost s nacionalne razine, jačanje prometnog sustava i izgradnja sustava navodnjavanja kroz kanal Dunav - Sava, te uspostava centra za gospodarenje otpadom. </w:t>
      </w:r>
    </w:p>
    <w:p w14:paraId="4F179E2B" w14:textId="77777777" w:rsidR="00580B39" w:rsidRPr="0091228A" w:rsidRDefault="00580B39" w:rsidP="00580B39">
      <w:pPr>
        <w:jc w:val="both"/>
      </w:pPr>
      <w:r w:rsidRPr="0091228A">
        <w:t xml:space="preserve">Prijetnje u sferi komunalne infrastrukture i okoliša uključuju onečišćenje zraka iz rafinerije Bosanski Brod, česte elementarne nepogode koje uključuju klizišta, poplave i bujice te klimatske promjene. </w:t>
      </w:r>
    </w:p>
    <w:p w14:paraId="0BEC50E1" w14:textId="71A2E65F" w:rsidR="008100B5" w:rsidRPr="001166C1" w:rsidRDefault="0013560E" w:rsidP="0013560E">
      <w:pPr>
        <w:pStyle w:val="Naslov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bookmarkStart w:id="10" w:name="_Toc84938281"/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3.2.</w:t>
      </w:r>
      <w:r w:rsidR="005C728F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041375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RAZVOJNE </w:t>
      </w:r>
      <w:r w:rsidR="008100B5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POTREBE</w:t>
      </w:r>
      <w:bookmarkEnd w:id="10"/>
    </w:p>
    <w:p w14:paraId="6F047412" w14:textId="4ABF0A20" w:rsidR="00A57DDD" w:rsidRPr="0091228A" w:rsidRDefault="00A57DDD" w:rsidP="008100B5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Razvojne potrebe Brodsko-posavske županije proizlaze direktno iz utvrđenih razvojnih ograničenja i ključnih slabosti u svim segmentima razvoja Županije. </w:t>
      </w:r>
    </w:p>
    <w:p w14:paraId="136784E3" w14:textId="5CABCBD1" w:rsidR="00366EE6" w:rsidRPr="0091228A" w:rsidRDefault="00580B39" w:rsidP="00366EE6">
      <w:pPr>
        <w:jc w:val="both"/>
        <w:rPr>
          <w:rFonts w:eastAsia="Times New Roman" w:cstheme="minorHAnsi"/>
          <w:bCs/>
          <w:lang w:eastAsia="hr-HR"/>
        </w:rPr>
      </w:pPr>
      <w:r w:rsidRPr="00EC75EE">
        <w:rPr>
          <w:rFonts w:eastAsia="Times New Roman" w:cstheme="minorHAnsi"/>
          <w:b/>
          <w:u w:val="single"/>
          <w:lang w:eastAsia="hr-HR"/>
        </w:rPr>
        <w:t>G</w:t>
      </w:r>
      <w:r w:rsidR="009936CE" w:rsidRPr="00EC75EE">
        <w:rPr>
          <w:rFonts w:eastAsia="Times New Roman" w:cstheme="minorHAnsi"/>
          <w:b/>
          <w:u w:val="single"/>
          <w:lang w:eastAsia="hr-HR"/>
        </w:rPr>
        <w:t>lavne potrebe razvoja gospodarstva i poduzetništva</w:t>
      </w:r>
      <w:r w:rsidR="009936CE" w:rsidRPr="0091228A">
        <w:rPr>
          <w:rFonts w:eastAsia="Times New Roman" w:cstheme="minorHAnsi"/>
          <w:bCs/>
          <w:lang w:eastAsia="hr-HR"/>
        </w:rPr>
        <w:t xml:space="preserve"> u Županiji su brži rast produktivnost</w:t>
      </w:r>
      <w:r w:rsidR="00984910">
        <w:rPr>
          <w:rFonts w:eastAsia="Times New Roman" w:cstheme="minorHAnsi"/>
          <w:bCs/>
          <w:lang w:eastAsia="hr-HR"/>
        </w:rPr>
        <w:t>i</w:t>
      </w:r>
      <w:r w:rsidR="009936CE" w:rsidRPr="0091228A">
        <w:rPr>
          <w:rFonts w:eastAsia="Times New Roman" w:cstheme="minorHAnsi"/>
          <w:bCs/>
          <w:lang w:eastAsia="hr-HR"/>
        </w:rPr>
        <w:t xml:space="preserve"> i profitabilnost gospodarstva, porast poduzetničke aktivnosti</w:t>
      </w:r>
      <w:r w:rsidR="00F4664F" w:rsidRPr="0091228A">
        <w:rPr>
          <w:rFonts w:eastAsia="Times New Roman" w:cstheme="minorHAnsi"/>
          <w:bCs/>
          <w:lang w:eastAsia="hr-HR"/>
        </w:rPr>
        <w:t xml:space="preserve"> te</w:t>
      </w:r>
      <w:r w:rsidR="009936CE" w:rsidRPr="0091228A">
        <w:rPr>
          <w:rFonts w:eastAsia="Times New Roman" w:cstheme="minorHAnsi"/>
          <w:bCs/>
          <w:lang w:eastAsia="hr-HR"/>
        </w:rPr>
        <w:t xml:space="preserve"> povećanje ulaganja poduzetnika u dugotrajnu imovinu. </w:t>
      </w:r>
      <w:r w:rsidR="00F4664F" w:rsidRPr="0091228A">
        <w:rPr>
          <w:rFonts w:eastAsia="Times New Roman" w:cstheme="minorHAnsi"/>
          <w:bCs/>
          <w:lang w:eastAsia="hr-HR"/>
        </w:rPr>
        <w:t>P</w:t>
      </w:r>
      <w:r w:rsidR="009936CE" w:rsidRPr="0091228A">
        <w:rPr>
          <w:rFonts w:eastAsia="Times New Roman" w:cstheme="minorHAnsi"/>
          <w:bCs/>
          <w:lang w:eastAsia="hr-HR"/>
        </w:rPr>
        <w:t xml:space="preserve">otrebno je </w:t>
      </w:r>
      <w:r w:rsidR="00F4664F" w:rsidRPr="0091228A">
        <w:rPr>
          <w:rFonts w:eastAsia="Times New Roman" w:cstheme="minorHAnsi"/>
          <w:bCs/>
          <w:lang w:eastAsia="hr-HR"/>
        </w:rPr>
        <w:t xml:space="preserve"> </w:t>
      </w:r>
      <w:r w:rsidR="009936CE" w:rsidRPr="0091228A">
        <w:rPr>
          <w:rFonts w:eastAsia="Times New Roman" w:cstheme="minorHAnsi"/>
          <w:bCs/>
          <w:lang w:eastAsia="hr-HR"/>
        </w:rPr>
        <w:t xml:space="preserve">jačati suradnju </w:t>
      </w:r>
      <w:r w:rsidR="00366EE6" w:rsidRPr="0091228A">
        <w:rPr>
          <w:rFonts w:eastAsia="Times New Roman" w:cstheme="minorHAnsi"/>
          <w:bCs/>
          <w:lang w:eastAsia="hr-HR"/>
        </w:rPr>
        <w:t xml:space="preserve">gospodarstva </w:t>
      </w:r>
      <w:r w:rsidR="009936CE" w:rsidRPr="0091228A">
        <w:rPr>
          <w:rFonts w:eastAsia="Times New Roman" w:cstheme="minorHAnsi"/>
          <w:bCs/>
          <w:lang w:eastAsia="hr-HR"/>
        </w:rPr>
        <w:t>sa znanstvenim institucijama</w:t>
      </w:r>
      <w:r w:rsidR="00F4664F" w:rsidRPr="0091228A">
        <w:rPr>
          <w:rFonts w:eastAsia="Times New Roman" w:cstheme="minorHAnsi"/>
          <w:bCs/>
          <w:lang w:eastAsia="hr-HR"/>
        </w:rPr>
        <w:t xml:space="preserve">, </w:t>
      </w:r>
      <w:r w:rsidR="00366EE6" w:rsidRPr="0091228A">
        <w:rPr>
          <w:rFonts w:eastAsia="Times New Roman" w:cstheme="minorHAnsi"/>
          <w:bCs/>
          <w:lang w:eastAsia="hr-HR"/>
        </w:rPr>
        <w:t>povećati ulaganja u obrazovne programe koji školuju kadrove za potrebe prerađivačke industrije</w:t>
      </w:r>
      <w:r w:rsidR="00307834" w:rsidRPr="0091228A">
        <w:rPr>
          <w:rFonts w:eastAsia="Times New Roman" w:cstheme="minorHAnsi"/>
          <w:bCs/>
          <w:lang w:eastAsia="hr-HR"/>
        </w:rPr>
        <w:t xml:space="preserve">. Također, potrebno je </w:t>
      </w:r>
      <w:r w:rsidR="00366EE6" w:rsidRPr="0091228A">
        <w:rPr>
          <w:rFonts w:eastAsia="Times New Roman" w:cstheme="minorHAnsi"/>
          <w:bCs/>
          <w:lang w:eastAsia="hr-HR"/>
        </w:rPr>
        <w:t>povećati aktivnosti na privlačenju novih ulagača, bilo iz drugih dijelova Republike Hrvatske ili iz inozemstva, kontinuirano podržavati izvozna poduzeća i poticati međusobnu suradnju poduzeća na području izvoza</w:t>
      </w:r>
      <w:r w:rsidR="00307834" w:rsidRPr="0091228A">
        <w:rPr>
          <w:rFonts w:eastAsia="Times New Roman" w:cstheme="minorHAnsi"/>
          <w:bCs/>
          <w:lang w:eastAsia="hr-HR"/>
        </w:rPr>
        <w:t>.</w:t>
      </w:r>
      <w:r w:rsidR="00366EE6" w:rsidRPr="0091228A">
        <w:rPr>
          <w:rFonts w:eastAsia="Times New Roman" w:cstheme="minorHAnsi"/>
          <w:bCs/>
          <w:lang w:eastAsia="hr-HR"/>
        </w:rPr>
        <w:t xml:space="preserve"> </w:t>
      </w:r>
    </w:p>
    <w:p w14:paraId="201E8CD3" w14:textId="55D47C36" w:rsidR="00366EE6" w:rsidRPr="0091228A" w:rsidRDefault="00366EE6" w:rsidP="00366EE6">
      <w:pPr>
        <w:jc w:val="both"/>
        <w:rPr>
          <w:rFonts w:eastAsia="Times New Roman" w:cstheme="minorHAnsi"/>
          <w:bCs/>
          <w:lang w:eastAsia="hr-HR"/>
        </w:rPr>
      </w:pPr>
      <w:r w:rsidRPr="0091228A">
        <w:rPr>
          <w:rFonts w:eastAsia="Times New Roman" w:cstheme="minorHAnsi"/>
          <w:bCs/>
          <w:lang w:eastAsia="hr-HR"/>
        </w:rPr>
        <w:t>Također, potrebno je nastaviti poboljšavati infrastrukturu  postojećim poduzetničkim zonama, ojačati kapacitete potpornih poduzetnički</w:t>
      </w:r>
      <w:r w:rsidR="00984910">
        <w:rPr>
          <w:rFonts w:eastAsia="Times New Roman" w:cstheme="minorHAnsi"/>
          <w:bCs/>
          <w:lang w:eastAsia="hr-HR"/>
        </w:rPr>
        <w:t>h</w:t>
      </w:r>
      <w:r w:rsidRPr="0091228A">
        <w:rPr>
          <w:rFonts w:eastAsia="Times New Roman" w:cstheme="minorHAnsi"/>
          <w:bCs/>
          <w:lang w:eastAsia="hr-HR"/>
        </w:rPr>
        <w:t xml:space="preserve"> institucija i razviti aktivnu mrežu poduzetničkih potpornih institucija </w:t>
      </w:r>
      <w:r w:rsidR="0024397C">
        <w:rPr>
          <w:rFonts w:eastAsia="Times New Roman" w:cstheme="minorHAnsi"/>
          <w:bCs/>
          <w:lang w:eastAsia="hr-HR"/>
        </w:rPr>
        <w:t>te</w:t>
      </w:r>
      <w:r w:rsidRPr="0091228A">
        <w:rPr>
          <w:rFonts w:eastAsia="Times New Roman" w:cstheme="minorHAnsi"/>
          <w:bCs/>
          <w:lang w:eastAsia="hr-HR"/>
        </w:rPr>
        <w:t xml:space="preserve"> aktivno poticati i pomagati sudjelovanje poduzetnika u svim potpornim programima. </w:t>
      </w:r>
    </w:p>
    <w:p w14:paraId="63E457EB" w14:textId="33388143" w:rsidR="00670C3F" w:rsidRPr="0091228A" w:rsidRDefault="00670C3F" w:rsidP="00366EE6">
      <w:pPr>
        <w:jc w:val="both"/>
        <w:rPr>
          <w:rFonts w:eastAsia="Times New Roman" w:cstheme="minorHAnsi"/>
          <w:bCs/>
          <w:lang w:eastAsia="hr-HR"/>
        </w:rPr>
      </w:pPr>
      <w:r w:rsidRPr="0091228A">
        <w:rPr>
          <w:rFonts w:eastAsia="Times New Roman" w:cstheme="minorHAnsi"/>
          <w:bCs/>
          <w:lang w:eastAsia="hr-HR"/>
        </w:rPr>
        <w:t xml:space="preserve">U </w:t>
      </w:r>
      <w:r w:rsidRPr="00EC75EE">
        <w:rPr>
          <w:rFonts w:eastAsia="Times New Roman" w:cstheme="minorHAnsi"/>
          <w:b/>
          <w:lang w:eastAsia="hr-HR"/>
        </w:rPr>
        <w:t>prerađivačkoj industriji potrebno</w:t>
      </w:r>
      <w:r w:rsidRPr="0091228A">
        <w:rPr>
          <w:rFonts w:eastAsia="Times New Roman" w:cstheme="minorHAnsi"/>
          <w:bCs/>
          <w:lang w:eastAsia="hr-HR"/>
        </w:rPr>
        <w:t xml:space="preserve"> je u prvom redu osnaživati  produktivnost, a potom i podizati  plaće  zaposlenika. </w:t>
      </w:r>
      <w:r w:rsidR="00366EE6" w:rsidRPr="0091228A">
        <w:rPr>
          <w:rFonts w:eastAsia="Times New Roman" w:cstheme="minorHAnsi"/>
          <w:bCs/>
          <w:lang w:eastAsia="hr-HR"/>
        </w:rPr>
        <w:t xml:space="preserve">Razvojne potrebe su vezane uz kontinuirano pomaganje poduzećima u jačanju tehnološke opremljenosti u svim sektorima, a posebno u prerađivačkoj industriji i snažnije poticanje razvoja poduzeća u području informacija i komunikacija, a posebno </w:t>
      </w:r>
      <w:r w:rsidR="00366EE6" w:rsidRPr="00D85CCB">
        <w:rPr>
          <w:rFonts w:eastAsia="Times New Roman" w:cstheme="minorHAnsi"/>
          <w:bCs/>
          <w:i/>
          <w:lang w:eastAsia="hr-HR"/>
        </w:rPr>
        <w:t>start-up</w:t>
      </w:r>
      <w:r w:rsidR="00366EE6" w:rsidRPr="0091228A">
        <w:rPr>
          <w:rFonts w:eastAsia="Times New Roman" w:cstheme="minorHAnsi"/>
          <w:bCs/>
          <w:lang w:eastAsia="hr-HR"/>
        </w:rPr>
        <w:t xml:space="preserve"> poduzeća. </w:t>
      </w:r>
      <w:r w:rsidRPr="0091228A">
        <w:rPr>
          <w:rFonts w:eastAsia="Times New Roman" w:cstheme="minorHAnsi"/>
          <w:bCs/>
          <w:lang w:eastAsia="hr-HR"/>
        </w:rPr>
        <w:t xml:space="preserve">Za  razvoj obrtništva također su neophodne potpore i poticaji. </w:t>
      </w:r>
    </w:p>
    <w:p w14:paraId="0CBC20F4" w14:textId="7F9F3784" w:rsidR="00670C3F" w:rsidRPr="0091228A" w:rsidRDefault="00670C3F" w:rsidP="00366EE6">
      <w:pPr>
        <w:jc w:val="both"/>
        <w:rPr>
          <w:rFonts w:eastAsia="Times New Roman" w:cstheme="minorHAnsi"/>
          <w:bCs/>
          <w:lang w:eastAsia="hr-HR"/>
        </w:rPr>
      </w:pPr>
      <w:r w:rsidRPr="00EC75EE">
        <w:rPr>
          <w:rFonts w:eastAsia="Times New Roman" w:cstheme="minorHAnsi"/>
          <w:b/>
          <w:lang w:eastAsia="hr-HR"/>
        </w:rPr>
        <w:t>Među glavnim potrebama za daljnji  razvoj poljoprivrede</w:t>
      </w:r>
      <w:r w:rsidRPr="0091228A">
        <w:rPr>
          <w:rFonts w:eastAsia="Times New Roman" w:cstheme="minorHAnsi"/>
          <w:bCs/>
          <w:lang w:eastAsia="hr-HR"/>
        </w:rPr>
        <w:t xml:space="preserve">  su brzo rješavanje  problema raspolaganja poljoprivrednim površinama u državnom vlasništvu, poticanje povećanja preradbenih kapaciteta za poljoprivredne proizvode,  razvoj logističke infrastrukture,  poticanje bržeg razvoja povrtlarstva, a posebno plasteničke proizvodnje, ekološke poljoprivrede te povećanje navodnjavanih poljoprivrednih površina.</w:t>
      </w:r>
    </w:p>
    <w:p w14:paraId="620E231A" w14:textId="53AE059F" w:rsidR="009473E6" w:rsidRPr="0091228A" w:rsidRDefault="009936CE" w:rsidP="0013560E">
      <w:pPr>
        <w:jc w:val="both"/>
        <w:rPr>
          <w:lang w:eastAsia="hr-HR"/>
        </w:rPr>
      </w:pPr>
      <w:r w:rsidRPr="0091228A">
        <w:rPr>
          <w:lang w:eastAsia="hr-HR"/>
        </w:rPr>
        <w:t xml:space="preserve">Potrebno je nastaviti ulaganja u opremanje poslovnih zona i poboljšavanje vještina zaposlenika u potpornim institucijama, posebno </w:t>
      </w:r>
      <w:r w:rsidR="0024397C">
        <w:rPr>
          <w:lang w:eastAsia="hr-HR"/>
        </w:rPr>
        <w:t xml:space="preserve">glede </w:t>
      </w:r>
      <w:r w:rsidRPr="0091228A">
        <w:rPr>
          <w:lang w:eastAsia="hr-HR"/>
        </w:rPr>
        <w:t xml:space="preserve">privlačenja ulaganja. </w:t>
      </w:r>
    </w:p>
    <w:p w14:paraId="7093D15A" w14:textId="3183BCFD" w:rsidR="00E34011" w:rsidRPr="0091228A" w:rsidRDefault="004F70CA" w:rsidP="0013560E">
      <w:pPr>
        <w:jc w:val="both"/>
        <w:rPr>
          <w:rFonts w:eastAsia="Times New Roman"/>
          <w:lang w:eastAsia="hr-HR"/>
        </w:rPr>
      </w:pPr>
      <w:r w:rsidRPr="00EC75EE">
        <w:rPr>
          <w:b/>
          <w:bCs/>
          <w:u w:val="single"/>
        </w:rPr>
        <w:t>Ključni</w:t>
      </w:r>
      <w:r w:rsidR="00E34011" w:rsidRPr="00EC75EE">
        <w:rPr>
          <w:b/>
          <w:bCs/>
          <w:u w:val="single"/>
        </w:rPr>
        <w:t xml:space="preserve"> čimbenici koj</w:t>
      </w:r>
      <w:r w:rsidR="00580B39" w:rsidRPr="00EC75EE">
        <w:rPr>
          <w:b/>
          <w:bCs/>
          <w:u w:val="single"/>
        </w:rPr>
        <w:t>i</w:t>
      </w:r>
      <w:r w:rsidR="00E34011" w:rsidRPr="00EC75EE">
        <w:rPr>
          <w:b/>
          <w:bCs/>
          <w:u w:val="single"/>
        </w:rPr>
        <w:t xml:space="preserve"> nepovoljno </w:t>
      </w:r>
      <w:r w:rsidRPr="00EC75EE">
        <w:rPr>
          <w:b/>
          <w:bCs/>
          <w:u w:val="single"/>
        </w:rPr>
        <w:t xml:space="preserve">utječu na razvoj </w:t>
      </w:r>
      <w:r w:rsidR="00E34011" w:rsidRPr="00EC75EE">
        <w:rPr>
          <w:b/>
          <w:bCs/>
          <w:u w:val="single"/>
        </w:rPr>
        <w:t>društvenih djelatnosti</w:t>
      </w:r>
      <w:r w:rsidR="00E34011" w:rsidRPr="0091228A">
        <w:rPr>
          <w:u w:val="single"/>
        </w:rPr>
        <w:t xml:space="preserve"> </w:t>
      </w:r>
      <w:r w:rsidR="00E34011" w:rsidRPr="0091228A">
        <w:t>u Brodsko</w:t>
      </w:r>
      <w:r w:rsidR="001620EC">
        <w:t>-</w:t>
      </w:r>
      <w:r w:rsidR="00E34011" w:rsidRPr="0091228A">
        <w:t>posavskoj županiji su starenje i iseljavanje stanovništva, pogotovo u ruralnim sredinama. Stoga</w:t>
      </w:r>
      <w:r w:rsidR="001620EC">
        <w:t xml:space="preserve"> je</w:t>
      </w:r>
      <w:r w:rsidR="00E34011" w:rsidRPr="0091228A">
        <w:t xml:space="preserve"> ključna  potreba u svrhu  unapređenja i provedbe županijske demografske politike </w:t>
      </w:r>
      <w:r w:rsidR="00E34011" w:rsidRPr="0091228A">
        <w:rPr>
          <w:rFonts w:eastAsia="Times New Roman"/>
          <w:lang w:eastAsia="hr-HR"/>
        </w:rPr>
        <w:t xml:space="preserve">uvođenje dodatnih  mjera radi ublažavanja i zaustavljanja smanjivanja broja stanovnika. Ove mjere obuhvaćaju dodatne pronatalitetne poticaje, potpore za ostanak i povratak ljudi u Županiju, poticaje mladim obiteljima za preseljenje </w:t>
      </w:r>
      <w:r w:rsidR="00F127A5" w:rsidRPr="0091228A">
        <w:rPr>
          <w:rFonts w:eastAsia="Times New Roman"/>
          <w:lang w:eastAsia="hr-HR"/>
        </w:rPr>
        <w:t>u demografski ugrožena područja i</w:t>
      </w:r>
      <w:r w:rsidR="00E34011" w:rsidRPr="0091228A">
        <w:rPr>
          <w:rFonts w:eastAsia="Times New Roman"/>
          <w:lang w:eastAsia="hr-HR"/>
        </w:rPr>
        <w:t xml:space="preserve"> poticaje za doseljavanje mladih obrazovanih ljudi</w:t>
      </w:r>
      <w:r w:rsidR="00F127A5" w:rsidRPr="0091228A">
        <w:rPr>
          <w:rFonts w:eastAsia="Times New Roman"/>
          <w:lang w:eastAsia="hr-HR"/>
        </w:rPr>
        <w:t xml:space="preserve">. </w:t>
      </w:r>
    </w:p>
    <w:p w14:paraId="71D3676C" w14:textId="69A2031F" w:rsidR="00E34011" w:rsidRPr="0091228A" w:rsidRDefault="00E34011" w:rsidP="00E34011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 xml:space="preserve">Radi  povećanja uspješnosti i daljnjih poboljšanja </w:t>
      </w:r>
      <w:r w:rsidRPr="0091228A">
        <w:rPr>
          <w:rFonts w:cstheme="minorHAnsi"/>
          <w:bCs/>
          <w:iCs/>
        </w:rPr>
        <w:t>županijske politike socijalne</w:t>
      </w:r>
      <w:r w:rsidRPr="0091228A">
        <w:rPr>
          <w:rFonts w:cstheme="minorHAnsi"/>
          <w:iCs/>
        </w:rPr>
        <w:t xml:space="preserve"> uključenost</w:t>
      </w:r>
      <w:r w:rsidRPr="0091228A">
        <w:rPr>
          <w:rFonts w:cstheme="minorHAnsi"/>
          <w:bCs/>
          <w:iCs/>
        </w:rPr>
        <w:t xml:space="preserve">i i </w:t>
      </w:r>
      <w:r w:rsidRPr="0091228A">
        <w:rPr>
          <w:rFonts w:cstheme="minorHAnsi"/>
          <w:iCs/>
        </w:rPr>
        <w:t xml:space="preserve">socijalne skrbi </w:t>
      </w:r>
      <w:r w:rsidRPr="0091228A">
        <w:rPr>
          <w:rFonts w:cstheme="minorHAnsi"/>
          <w:bCs/>
          <w:iCs/>
        </w:rPr>
        <w:t xml:space="preserve">nužno je </w:t>
      </w:r>
      <w:r w:rsidRPr="0091228A">
        <w:rPr>
          <w:rFonts w:eastAsia="Times New Roman" w:cstheme="minorHAnsi"/>
          <w:lang w:eastAsia="hr-HR"/>
        </w:rPr>
        <w:t xml:space="preserve">povećavati i poboljšavati smještajne kapacitete za starije i nemoćne te osigurati kapacitete za palijativnu skrb. Potrebno je </w:t>
      </w:r>
      <w:r w:rsidR="0065263E" w:rsidRPr="0091228A">
        <w:rPr>
          <w:rFonts w:eastAsia="Times New Roman" w:cstheme="minorHAnsi"/>
          <w:lang w:eastAsia="hr-HR"/>
        </w:rPr>
        <w:t xml:space="preserve">također </w:t>
      </w:r>
      <w:r w:rsidRPr="0091228A">
        <w:rPr>
          <w:rFonts w:eastAsia="Times New Roman" w:cstheme="minorHAnsi"/>
          <w:lang w:eastAsia="hr-HR"/>
        </w:rPr>
        <w:t xml:space="preserve">proširiti usluge pomoći i njege u kući za starije osobe. Nužno je jačati dostupnost i kvalitetu usluga za pružanje smještaja psihički oboljelim osobama te osnažiti Obiteljske centre u prevenciji obiteljskog nasilja, ovisnosti o drogi i alkoholu. </w:t>
      </w:r>
      <w:r w:rsidR="00383FBF" w:rsidRPr="0091228A">
        <w:rPr>
          <w:rFonts w:eastAsia="Times New Roman" w:cstheme="minorHAnsi"/>
          <w:lang w:eastAsia="hr-HR"/>
        </w:rPr>
        <w:t xml:space="preserve">Radi provedbe učinkovite demografske politike važno je osigurati </w:t>
      </w:r>
      <w:r w:rsidRPr="0091228A">
        <w:rPr>
          <w:rFonts w:eastAsia="Times New Roman" w:cstheme="minorHAnsi"/>
          <w:lang w:eastAsia="hr-HR"/>
        </w:rPr>
        <w:t>pomoć i podršk</w:t>
      </w:r>
      <w:r w:rsidR="00383FBF" w:rsidRPr="0091228A">
        <w:rPr>
          <w:rFonts w:eastAsia="Times New Roman" w:cstheme="minorHAnsi"/>
          <w:lang w:eastAsia="hr-HR"/>
        </w:rPr>
        <w:t>u</w:t>
      </w:r>
      <w:r w:rsidRPr="0091228A">
        <w:rPr>
          <w:rFonts w:eastAsia="Times New Roman" w:cstheme="minorHAnsi"/>
          <w:lang w:eastAsia="hr-HR"/>
        </w:rPr>
        <w:t xml:space="preserve"> obiteljima s više  djece</w:t>
      </w:r>
      <w:r w:rsidR="00383FBF" w:rsidRPr="0091228A">
        <w:rPr>
          <w:rFonts w:eastAsia="Times New Roman" w:cstheme="minorHAnsi"/>
          <w:lang w:eastAsia="hr-HR"/>
        </w:rPr>
        <w:t xml:space="preserve">. </w:t>
      </w:r>
    </w:p>
    <w:p w14:paraId="3A555A0E" w14:textId="075EA983" w:rsidR="00E34011" w:rsidRPr="0091228A" w:rsidRDefault="00E34011" w:rsidP="0013560E">
      <w:pPr>
        <w:jc w:val="both"/>
        <w:rPr>
          <w:lang w:eastAsia="hr-HR"/>
        </w:rPr>
      </w:pPr>
      <w:r w:rsidRPr="0091228A">
        <w:rPr>
          <w:lang w:eastAsia="hr-HR"/>
        </w:rPr>
        <w:lastRenderedPageBreak/>
        <w:t xml:space="preserve">U području zdravstva, </w:t>
      </w:r>
      <w:r w:rsidR="00383FBF" w:rsidRPr="0091228A">
        <w:rPr>
          <w:lang w:eastAsia="hr-HR"/>
        </w:rPr>
        <w:t xml:space="preserve">ključna </w:t>
      </w:r>
      <w:r w:rsidRPr="0091228A">
        <w:rPr>
          <w:lang w:eastAsia="hr-HR"/>
        </w:rPr>
        <w:t xml:space="preserve"> potreba je jačanje primarne zdravstvene zaštite kroz domove zdravlja i </w:t>
      </w:r>
      <w:r w:rsidR="0065263E" w:rsidRPr="0091228A">
        <w:rPr>
          <w:lang w:eastAsia="hr-HR"/>
        </w:rPr>
        <w:t xml:space="preserve">osiguranje </w:t>
      </w:r>
      <w:r w:rsidRPr="0091228A">
        <w:rPr>
          <w:lang w:eastAsia="hr-HR"/>
        </w:rPr>
        <w:t>ekipiranost</w:t>
      </w:r>
      <w:r w:rsidR="0065263E" w:rsidRPr="0091228A">
        <w:rPr>
          <w:lang w:eastAsia="hr-HR"/>
        </w:rPr>
        <w:t>i</w:t>
      </w:r>
      <w:r w:rsidRPr="0091228A">
        <w:rPr>
          <w:lang w:eastAsia="hr-HR"/>
        </w:rPr>
        <w:t xml:space="preserve"> liječnika obiteljske medicine u ruralnim područjima. Potrebno je posebnim mjerama (uključujući obrazovni sustav) nastaviti razvijati zdrave životne navike kod stanovnika svih uzrasta u Županiji. Važno je ujedno izraditi planove djelovanja županijskog zdravstvenog sustava u svrhu pravodobnog i djelotvornog reagiranja u okolnostima pandemije</w:t>
      </w:r>
      <w:r w:rsidR="004520BD">
        <w:rPr>
          <w:lang w:eastAsia="hr-HR"/>
        </w:rPr>
        <w:t xml:space="preserve"> bolesti</w:t>
      </w:r>
      <w:r w:rsidRPr="0091228A">
        <w:rPr>
          <w:lang w:eastAsia="hr-HR"/>
        </w:rPr>
        <w:t xml:space="preserve"> COVID-19 ili slične moguće ugroze. </w:t>
      </w:r>
    </w:p>
    <w:p w14:paraId="14AED10F" w14:textId="778538C9" w:rsidR="0065263E" w:rsidRPr="0091228A" w:rsidRDefault="00E34011" w:rsidP="0013560E">
      <w:pPr>
        <w:jc w:val="both"/>
        <w:rPr>
          <w:lang w:eastAsia="hr-HR"/>
        </w:rPr>
      </w:pPr>
      <w:r w:rsidRPr="00EC75EE">
        <w:rPr>
          <w:b/>
          <w:bCs/>
          <w:iCs/>
        </w:rPr>
        <w:t xml:space="preserve">U području </w:t>
      </w:r>
      <w:r w:rsidR="00383FBF" w:rsidRPr="00EC75EE">
        <w:rPr>
          <w:b/>
          <w:bCs/>
          <w:iCs/>
        </w:rPr>
        <w:t xml:space="preserve">odgoja i </w:t>
      </w:r>
      <w:r w:rsidR="00580B39" w:rsidRPr="00EC75EE">
        <w:rPr>
          <w:b/>
          <w:bCs/>
          <w:iCs/>
        </w:rPr>
        <w:t>obrazovanja</w:t>
      </w:r>
      <w:r w:rsidR="00580B39" w:rsidRPr="0091228A">
        <w:rPr>
          <w:iCs/>
        </w:rPr>
        <w:t xml:space="preserve"> </w:t>
      </w:r>
      <w:r w:rsidRPr="0091228A">
        <w:rPr>
          <w:iCs/>
        </w:rPr>
        <w:t xml:space="preserve">nužna </w:t>
      </w:r>
      <w:r w:rsidR="004520BD">
        <w:rPr>
          <w:iCs/>
        </w:rPr>
        <w:t xml:space="preserve">je </w:t>
      </w:r>
      <w:r w:rsidR="0065263E" w:rsidRPr="0091228A">
        <w:rPr>
          <w:iCs/>
        </w:rPr>
        <w:t xml:space="preserve">obnova i/ili </w:t>
      </w:r>
      <w:r w:rsidRPr="0091228A">
        <w:rPr>
          <w:iCs/>
        </w:rPr>
        <w:t xml:space="preserve">izgradnja  </w:t>
      </w:r>
      <w:r w:rsidRPr="0091228A">
        <w:rPr>
          <w:lang w:eastAsia="hr-HR"/>
        </w:rPr>
        <w:t>infrastrukture</w:t>
      </w:r>
      <w:r w:rsidR="0065263E" w:rsidRPr="0091228A">
        <w:rPr>
          <w:lang w:eastAsia="hr-HR"/>
        </w:rPr>
        <w:t xml:space="preserve"> te </w:t>
      </w:r>
      <w:r w:rsidRPr="0091228A">
        <w:rPr>
          <w:lang w:eastAsia="hr-HR"/>
        </w:rPr>
        <w:t xml:space="preserve"> opremanje ustanova</w:t>
      </w:r>
      <w:r w:rsidR="0065263E" w:rsidRPr="0091228A">
        <w:rPr>
          <w:lang w:eastAsia="hr-HR"/>
        </w:rPr>
        <w:t xml:space="preserve">. U </w:t>
      </w:r>
      <w:r w:rsidRPr="0091228A">
        <w:rPr>
          <w:lang w:eastAsia="hr-HR"/>
        </w:rPr>
        <w:t>predškolsk</w:t>
      </w:r>
      <w:r w:rsidR="0065263E" w:rsidRPr="0091228A">
        <w:rPr>
          <w:lang w:eastAsia="hr-HR"/>
        </w:rPr>
        <w:t xml:space="preserve">om odgoju očekuje se uvođenje novih programa, a u </w:t>
      </w:r>
      <w:r w:rsidRPr="0091228A">
        <w:rPr>
          <w:lang w:eastAsia="hr-HR"/>
        </w:rPr>
        <w:t xml:space="preserve">osnovnom obrazovanju potrebno je osigurati potreban </w:t>
      </w:r>
      <w:r w:rsidRPr="0091228A">
        <w:t>stručni kadar.</w:t>
      </w:r>
      <w:r w:rsidRPr="0091228A">
        <w:rPr>
          <w:lang w:eastAsia="hr-HR"/>
        </w:rPr>
        <w:t xml:space="preserve"> </w:t>
      </w:r>
      <w:r w:rsidR="0065263E" w:rsidRPr="0091228A">
        <w:rPr>
          <w:lang w:eastAsia="hr-HR"/>
        </w:rPr>
        <w:t>U srednjoškolskom i visokom obrazovanju p</w:t>
      </w:r>
      <w:r w:rsidRPr="0091228A">
        <w:rPr>
          <w:lang w:eastAsia="hr-HR"/>
        </w:rPr>
        <w:t xml:space="preserve">otrebe </w:t>
      </w:r>
      <w:r w:rsidR="00383FBF" w:rsidRPr="0091228A">
        <w:rPr>
          <w:lang w:eastAsia="hr-HR"/>
        </w:rPr>
        <w:t xml:space="preserve">su vezane </w:t>
      </w:r>
      <w:r w:rsidR="004520BD">
        <w:rPr>
          <w:lang w:eastAsia="hr-HR"/>
        </w:rPr>
        <w:t>za</w:t>
      </w:r>
      <w:r w:rsidR="00383FBF" w:rsidRPr="0091228A">
        <w:rPr>
          <w:lang w:eastAsia="hr-HR"/>
        </w:rPr>
        <w:t xml:space="preserve"> razvoj novih programa obrazovanja radi povezivanja obrazovnog sustava s tržištem rada i </w:t>
      </w:r>
      <w:r w:rsidRPr="0091228A">
        <w:rPr>
          <w:lang w:eastAsia="hr-HR"/>
        </w:rPr>
        <w:t xml:space="preserve">daljnje jačanje suradnje gospodarstva i </w:t>
      </w:r>
      <w:r w:rsidR="00383FBF" w:rsidRPr="0091228A">
        <w:rPr>
          <w:lang w:eastAsia="hr-HR"/>
        </w:rPr>
        <w:t xml:space="preserve">sustava znanosti i obrazovanja, posebice u </w:t>
      </w:r>
      <w:r w:rsidRPr="0091228A">
        <w:rPr>
          <w:lang w:eastAsia="hr-HR"/>
        </w:rPr>
        <w:t>metaln</w:t>
      </w:r>
      <w:r w:rsidR="00383FBF" w:rsidRPr="0091228A">
        <w:rPr>
          <w:lang w:eastAsia="hr-HR"/>
        </w:rPr>
        <w:t>om i</w:t>
      </w:r>
      <w:r w:rsidRPr="0091228A">
        <w:rPr>
          <w:lang w:eastAsia="hr-HR"/>
        </w:rPr>
        <w:t xml:space="preserve"> drvn</w:t>
      </w:r>
      <w:r w:rsidR="00383FBF" w:rsidRPr="0091228A">
        <w:rPr>
          <w:lang w:eastAsia="hr-HR"/>
        </w:rPr>
        <w:t>om</w:t>
      </w:r>
      <w:r w:rsidRPr="0091228A">
        <w:rPr>
          <w:lang w:eastAsia="hr-HR"/>
        </w:rPr>
        <w:t xml:space="preserve"> sektor</w:t>
      </w:r>
      <w:r w:rsidR="00383FBF" w:rsidRPr="0091228A">
        <w:rPr>
          <w:lang w:eastAsia="hr-HR"/>
        </w:rPr>
        <w:t>u</w:t>
      </w:r>
      <w:r w:rsidRPr="0091228A">
        <w:rPr>
          <w:lang w:eastAsia="hr-HR"/>
        </w:rPr>
        <w:t xml:space="preserve"> </w:t>
      </w:r>
      <w:r w:rsidR="00383FBF" w:rsidRPr="0091228A">
        <w:rPr>
          <w:lang w:eastAsia="hr-HR"/>
        </w:rPr>
        <w:t xml:space="preserve">te u </w:t>
      </w:r>
      <w:r w:rsidRPr="0091228A">
        <w:rPr>
          <w:lang w:eastAsia="hr-HR"/>
        </w:rPr>
        <w:t>poljoprivred</w:t>
      </w:r>
      <w:r w:rsidR="00383FBF" w:rsidRPr="0091228A">
        <w:rPr>
          <w:lang w:eastAsia="hr-HR"/>
        </w:rPr>
        <w:t xml:space="preserve">i. Također, potrebno je poticati </w:t>
      </w:r>
      <w:r w:rsidRPr="0091228A">
        <w:rPr>
          <w:lang w:eastAsia="hr-HR"/>
        </w:rPr>
        <w:t>obrazovanj</w:t>
      </w:r>
      <w:r w:rsidR="00383FBF" w:rsidRPr="0091228A">
        <w:rPr>
          <w:lang w:eastAsia="hr-HR"/>
        </w:rPr>
        <w:t>e</w:t>
      </w:r>
      <w:r w:rsidRPr="0091228A">
        <w:rPr>
          <w:lang w:eastAsia="hr-HR"/>
        </w:rPr>
        <w:t xml:space="preserve"> za obrtnička zanimanja. </w:t>
      </w:r>
      <w:r w:rsidR="0065263E" w:rsidRPr="0091228A">
        <w:rPr>
          <w:lang w:eastAsia="hr-HR"/>
        </w:rPr>
        <w:t>Na svim razinama obrazovanja ključno je poticati i jačati digitalnu pismenost, znanja i vještine kao i  opremljenost obrazovnih ustanova informacijsko-komunikacijskim tehnologijama.</w:t>
      </w:r>
    </w:p>
    <w:p w14:paraId="776C9496" w14:textId="5A33987D" w:rsidR="00E34011" w:rsidRPr="0091228A" w:rsidRDefault="00E34011" w:rsidP="00E34011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>Posebnim je mjerama potrebno poticati mlade, ali i starije stanovnike Županije na cjeloživotno učenje. Nužno je poticati suradnju Županije u obrazovanju i znanosti s drug</w:t>
      </w:r>
      <w:r w:rsidR="00383FBF" w:rsidRPr="0091228A">
        <w:rPr>
          <w:rFonts w:eastAsia="Times New Roman" w:cstheme="minorHAnsi"/>
          <w:lang w:eastAsia="hr-HR"/>
        </w:rPr>
        <w:t xml:space="preserve">im županijama </w:t>
      </w:r>
      <w:r w:rsidR="00EE4C38">
        <w:rPr>
          <w:rFonts w:eastAsia="Times New Roman" w:cstheme="minorHAnsi"/>
          <w:lang w:eastAsia="hr-HR"/>
        </w:rPr>
        <w:t xml:space="preserve">te </w:t>
      </w:r>
      <w:r w:rsidR="00383FBF" w:rsidRPr="0091228A">
        <w:rPr>
          <w:rFonts w:eastAsia="Times New Roman" w:cstheme="minorHAnsi"/>
          <w:lang w:eastAsia="hr-HR"/>
        </w:rPr>
        <w:t xml:space="preserve">izvan Republike Hrvatske. </w:t>
      </w:r>
    </w:p>
    <w:p w14:paraId="15C1D7CB" w14:textId="11C83822" w:rsidR="00E34011" w:rsidRPr="0091228A" w:rsidRDefault="00E34011" w:rsidP="00E34011">
      <w:pPr>
        <w:jc w:val="both"/>
        <w:rPr>
          <w:rFonts w:eastAsia="Times New Roman" w:cstheme="minorHAnsi"/>
          <w:lang w:eastAsia="hr-HR"/>
        </w:rPr>
      </w:pPr>
      <w:r w:rsidRPr="00EC75EE">
        <w:rPr>
          <w:rFonts w:eastAsia="Times New Roman" w:cstheme="minorHAnsi"/>
          <w:b/>
          <w:bCs/>
          <w:lang w:eastAsia="hr-HR"/>
        </w:rPr>
        <w:t>Kulturu</w:t>
      </w:r>
      <w:r w:rsidRPr="0091228A">
        <w:rPr>
          <w:rFonts w:eastAsia="Times New Roman" w:cstheme="minorHAnsi"/>
          <w:lang w:eastAsia="hr-HR"/>
        </w:rPr>
        <w:t xml:space="preserve"> je potrebno cjelovito valorizirati kao čimbenik</w:t>
      </w:r>
      <w:r w:rsidR="0065263E" w:rsidRPr="0091228A">
        <w:rPr>
          <w:rFonts w:eastAsia="Times New Roman" w:cstheme="minorHAnsi"/>
          <w:lang w:eastAsia="hr-HR"/>
        </w:rPr>
        <w:t xml:space="preserve"> </w:t>
      </w:r>
      <w:r w:rsidRPr="0091228A">
        <w:rPr>
          <w:rFonts w:eastAsia="Times New Roman" w:cstheme="minorHAnsi"/>
          <w:lang w:eastAsia="hr-HR"/>
        </w:rPr>
        <w:t>svekolikog razvoja</w:t>
      </w:r>
      <w:r w:rsidR="0065263E" w:rsidRPr="0091228A">
        <w:rPr>
          <w:rFonts w:eastAsia="Times New Roman" w:cstheme="minorHAnsi"/>
          <w:lang w:eastAsia="hr-HR"/>
        </w:rPr>
        <w:t xml:space="preserve"> Županije</w:t>
      </w:r>
      <w:r w:rsidRPr="0091228A">
        <w:rPr>
          <w:rFonts w:eastAsia="Times New Roman" w:cstheme="minorHAnsi"/>
          <w:lang w:eastAsia="hr-HR"/>
        </w:rPr>
        <w:t>. Treba</w:t>
      </w:r>
      <w:r w:rsidR="00CA057F">
        <w:rPr>
          <w:rFonts w:eastAsia="Times New Roman" w:cstheme="minorHAnsi"/>
          <w:lang w:eastAsia="hr-HR"/>
        </w:rPr>
        <w:t>lo bi</w:t>
      </w:r>
      <w:r w:rsidRPr="0091228A">
        <w:rPr>
          <w:rFonts w:eastAsia="Times New Roman" w:cstheme="minorHAnsi"/>
          <w:lang w:eastAsia="hr-HR"/>
        </w:rPr>
        <w:t xml:space="preserve"> naročito poticati razvoj kulturnih i kreativnih industrija, posebno poduzetničke pothvate obrazovanih mladih ljudi. Potrebno je bolje i inovativnije koristiti kulturne manifestacije i kulturnu baštinu za razvoj turizma. Također, uz kulturu, potrebno je poboljšati očuvanje kulturne baštine kao i</w:t>
      </w:r>
      <w:r w:rsidR="0065263E" w:rsidRPr="0091228A">
        <w:rPr>
          <w:rFonts w:eastAsia="Times New Roman" w:cstheme="minorHAnsi"/>
          <w:lang w:eastAsia="hr-HR"/>
        </w:rPr>
        <w:t xml:space="preserve"> </w:t>
      </w:r>
      <w:r w:rsidRPr="0091228A">
        <w:rPr>
          <w:rFonts w:eastAsia="Times New Roman" w:cstheme="minorHAnsi"/>
          <w:lang w:eastAsia="hr-HR"/>
        </w:rPr>
        <w:t>nje</w:t>
      </w:r>
      <w:r w:rsidR="00CA057F">
        <w:rPr>
          <w:rFonts w:eastAsia="Times New Roman" w:cstheme="minorHAnsi"/>
          <w:lang w:eastAsia="hr-HR"/>
        </w:rPr>
        <w:t>zi</w:t>
      </w:r>
      <w:r w:rsidRPr="0091228A">
        <w:rPr>
          <w:rFonts w:eastAsia="Times New Roman" w:cstheme="minorHAnsi"/>
          <w:lang w:eastAsia="hr-HR"/>
        </w:rPr>
        <w:t xml:space="preserve">no snažnije  </w:t>
      </w:r>
      <w:r w:rsidR="00383FBF" w:rsidRPr="0091228A">
        <w:rPr>
          <w:rFonts w:eastAsia="Times New Roman" w:cstheme="minorHAnsi"/>
          <w:lang w:eastAsia="hr-HR"/>
        </w:rPr>
        <w:t>promoviranje</w:t>
      </w:r>
      <w:r w:rsidRPr="0091228A">
        <w:rPr>
          <w:rFonts w:eastAsia="Times New Roman" w:cstheme="minorHAnsi"/>
          <w:lang w:eastAsia="hr-HR"/>
        </w:rPr>
        <w:t xml:space="preserve"> </w:t>
      </w:r>
      <w:r w:rsidR="00383FBF" w:rsidRPr="0091228A">
        <w:rPr>
          <w:rFonts w:eastAsia="Times New Roman" w:cstheme="minorHAnsi"/>
          <w:lang w:eastAsia="hr-HR"/>
        </w:rPr>
        <w:t>u</w:t>
      </w:r>
      <w:r w:rsidRPr="0091228A">
        <w:rPr>
          <w:rFonts w:eastAsia="Times New Roman" w:cstheme="minorHAnsi"/>
          <w:lang w:eastAsia="hr-HR"/>
        </w:rPr>
        <w:t xml:space="preserve"> Županiji</w:t>
      </w:r>
      <w:r w:rsidR="00383FBF" w:rsidRPr="0091228A">
        <w:rPr>
          <w:rFonts w:eastAsia="Times New Roman" w:cstheme="minorHAnsi"/>
          <w:lang w:eastAsia="hr-HR"/>
        </w:rPr>
        <w:t xml:space="preserve">, u Republici Hrvatskoj i u </w:t>
      </w:r>
      <w:r w:rsidRPr="0091228A">
        <w:rPr>
          <w:rFonts w:eastAsia="Times New Roman" w:cstheme="minorHAnsi"/>
          <w:lang w:eastAsia="hr-HR"/>
        </w:rPr>
        <w:t>inozemstvu.</w:t>
      </w:r>
    </w:p>
    <w:p w14:paraId="7D8AE8BE" w14:textId="3333E581" w:rsidR="00E34011" w:rsidRPr="0091228A" w:rsidRDefault="00E34011" w:rsidP="00E34011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 xml:space="preserve">U području </w:t>
      </w:r>
      <w:r w:rsidRPr="00EC75EE">
        <w:rPr>
          <w:rFonts w:eastAsia="Times New Roman" w:cstheme="minorHAnsi"/>
          <w:b/>
          <w:bCs/>
          <w:lang w:eastAsia="hr-HR"/>
        </w:rPr>
        <w:t>sporta</w:t>
      </w:r>
      <w:r w:rsidRPr="0091228A">
        <w:rPr>
          <w:rFonts w:eastAsia="Times New Roman" w:cstheme="minorHAnsi"/>
          <w:lang w:eastAsia="hr-HR"/>
        </w:rPr>
        <w:t xml:space="preserve"> potrebno je povećavati ulaganja u</w:t>
      </w:r>
      <w:r w:rsidR="00383FBF" w:rsidRPr="0091228A">
        <w:rPr>
          <w:rFonts w:eastAsia="Times New Roman" w:cstheme="minorHAnsi"/>
          <w:lang w:eastAsia="hr-HR"/>
        </w:rPr>
        <w:t xml:space="preserve"> obnovu i/ili izgradnju </w:t>
      </w:r>
      <w:r w:rsidRPr="0091228A">
        <w:rPr>
          <w:rFonts w:eastAsia="Times New Roman" w:cstheme="minorHAnsi"/>
          <w:lang w:eastAsia="hr-HR"/>
        </w:rPr>
        <w:t>nov</w:t>
      </w:r>
      <w:r w:rsidR="00383FBF" w:rsidRPr="0091228A">
        <w:rPr>
          <w:rFonts w:eastAsia="Times New Roman" w:cstheme="minorHAnsi"/>
          <w:lang w:eastAsia="hr-HR"/>
        </w:rPr>
        <w:t>e</w:t>
      </w:r>
      <w:r w:rsidRPr="0091228A">
        <w:rPr>
          <w:rFonts w:eastAsia="Times New Roman" w:cstheme="minorHAnsi"/>
          <w:lang w:eastAsia="hr-HR"/>
        </w:rPr>
        <w:t xml:space="preserve"> sportsk</w:t>
      </w:r>
      <w:r w:rsidR="00383FBF" w:rsidRPr="0091228A">
        <w:rPr>
          <w:rFonts w:eastAsia="Times New Roman" w:cstheme="minorHAnsi"/>
          <w:lang w:eastAsia="hr-HR"/>
        </w:rPr>
        <w:t>e</w:t>
      </w:r>
      <w:r w:rsidRPr="0091228A">
        <w:rPr>
          <w:rFonts w:eastAsia="Times New Roman" w:cstheme="minorHAnsi"/>
          <w:lang w:eastAsia="hr-HR"/>
        </w:rPr>
        <w:t xml:space="preserve"> infrastruktur</w:t>
      </w:r>
      <w:r w:rsidR="00383FBF" w:rsidRPr="0091228A">
        <w:rPr>
          <w:rFonts w:eastAsia="Times New Roman" w:cstheme="minorHAnsi"/>
          <w:lang w:eastAsia="hr-HR"/>
        </w:rPr>
        <w:t xml:space="preserve">e. Također </w:t>
      </w:r>
      <w:r w:rsidR="00CA057F">
        <w:rPr>
          <w:rFonts w:eastAsia="Times New Roman" w:cstheme="minorHAnsi"/>
          <w:lang w:eastAsia="hr-HR"/>
        </w:rPr>
        <w:t xml:space="preserve">postoji </w:t>
      </w:r>
      <w:r w:rsidR="00383FBF" w:rsidRPr="0091228A">
        <w:rPr>
          <w:rFonts w:eastAsia="Times New Roman" w:cstheme="minorHAnsi"/>
          <w:lang w:eastAsia="hr-HR"/>
        </w:rPr>
        <w:t xml:space="preserve">potreba </w:t>
      </w:r>
      <w:r w:rsidR="00CA057F">
        <w:rPr>
          <w:rFonts w:eastAsia="Times New Roman" w:cstheme="minorHAnsi"/>
          <w:lang w:eastAsia="hr-HR"/>
        </w:rPr>
        <w:t xml:space="preserve">za </w:t>
      </w:r>
      <w:r w:rsidR="00383FBF" w:rsidRPr="0091228A">
        <w:rPr>
          <w:rFonts w:eastAsia="Times New Roman" w:cstheme="minorHAnsi"/>
          <w:lang w:eastAsia="hr-HR"/>
        </w:rPr>
        <w:t>osiguranje</w:t>
      </w:r>
      <w:r w:rsidR="00D53ECC">
        <w:rPr>
          <w:rFonts w:eastAsia="Times New Roman" w:cstheme="minorHAnsi"/>
          <w:lang w:eastAsia="hr-HR"/>
        </w:rPr>
        <w:t>m</w:t>
      </w:r>
      <w:r w:rsidR="00383FBF" w:rsidRPr="0091228A">
        <w:rPr>
          <w:rFonts w:eastAsia="Times New Roman" w:cstheme="minorHAnsi"/>
          <w:lang w:eastAsia="hr-HR"/>
        </w:rPr>
        <w:t xml:space="preserve"> </w:t>
      </w:r>
      <w:r w:rsidRPr="0091228A">
        <w:rPr>
          <w:rFonts w:eastAsia="Times New Roman" w:cstheme="minorHAnsi"/>
          <w:lang w:eastAsia="hr-HR"/>
        </w:rPr>
        <w:t>stručn</w:t>
      </w:r>
      <w:r w:rsidR="00383FBF" w:rsidRPr="0091228A">
        <w:rPr>
          <w:rFonts w:eastAsia="Times New Roman" w:cstheme="minorHAnsi"/>
          <w:lang w:eastAsia="hr-HR"/>
        </w:rPr>
        <w:t xml:space="preserve">og </w:t>
      </w:r>
      <w:r w:rsidRPr="0091228A">
        <w:rPr>
          <w:rFonts w:eastAsia="Times New Roman" w:cstheme="minorHAnsi"/>
          <w:lang w:eastAsia="hr-HR"/>
        </w:rPr>
        <w:t>kadr</w:t>
      </w:r>
      <w:r w:rsidR="00470D9E" w:rsidRPr="0091228A">
        <w:rPr>
          <w:rFonts w:eastAsia="Times New Roman" w:cstheme="minorHAnsi"/>
          <w:lang w:eastAsia="hr-HR"/>
        </w:rPr>
        <w:t xml:space="preserve">a </w:t>
      </w:r>
      <w:r w:rsidR="00D53ECC">
        <w:rPr>
          <w:rFonts w:eastAsia="Times New Roman" w:cstheme="minorHAnsi"/>
          <w:lang w:eastAsia="hr-HR"/>
        </w:rPr>
        <w:t>u svrhu</w:t>
      </w:r>
      <w:r w:rsidR="00470D9E" w:rsidRPr="0091228A">
        <w:rPr>
          <w:rFonts w:eastAsia="Times New Roman" w:cstheme="minorHAnsi"/>
          <w:lang w:eastAsia="hr-HR"/>
        </w:rPr>
        <w:t xml:space="preserve"> provođenj</w:t>
      </w:r>
      <w:r w:rsidR="00D53ECC">
        <w:rPr>
          <w:rFonts w:eastAsia="Times New Roman" w:cstheme="minorHAnsi"/>
          <w:lang w:eastAsia="hr-HR"/>
        </w:rPr>
        <w:t>a</w:t>
      </w:r>
      <w:r w:rsidR="00470D9E" w:rsidRPr="0091228A">
        <w:rPr>
          <w:rFonts w:eastAsia="Times New Roman" w:cstheme="minorHAnsi"/>
          <w:lang w:eastAsia="hr-HR"/>
        </w:rPr>
        <w:t xml:space="preserve"> sportskih aktivnosti te </w:t>
      </w:r>
      <w:r w:rsidRPr="0091228A">
        <w:rPr>
          <w:rFonts w:eastAsia="Times New Roman" w:cstheme="minorHAnsi"/>
          <w:lang w:eastAsia="hr-HR"/>
        </w:rPr>
        <w:t xml:space="preserve"> potica</w:t>
      </w:r>
      <w:r w:rsidR="0065263E" w:rsidRPr="0091228A">
        <w:rPr>
          <w:rFonts w:eastAsia="Times New Roman" w:cstheme="minorHAnsi"/>
          <w:lang w:eastAsia="hr-HR"/>
        </w:rPr>
        <w:t>nj</w:t>
      </w:r>
      <w:r w:rsidR="00D53ECC">
        <w:rPr>
          <w:rFonts w:eastAsia="Times New Roman" w:cstheme="minorHAnsi"/>
          <w:lang w:eastAsia="hr-HR"/>
        </w:rPr>
        <w:t>a</w:t>
      </w:r>
      <w:r w:rsidRPr="0091228A">
        <w:rPr>
          <w:rFonts w:eastAsia="Times New Roman" w:cstheme="minorHAnsi"/>
          <w:lang w:eastAsia="hr-HR"/>
        </w:rPr>
        <w:t xml:space="preserve"> sportske aktivnosti kod osoba s invaliditetom i otežanim kretanjem. Potrebno je  promovirati zdrav način života u Županiji jačanje</w:t>
      </w:r>
      <w:r w:rsidR="00D53ECC">
        <w:rPr>
          <w:rFonts w:eastAsia="Times New Roman" w:cstheme="minorHAnsi"/>
          <w:lang w:eastAsia="hr-HR"/>
        </w:rPr>
        <w:t>m</w:t>
      </w:r>
      <w:r w:rsidRPr="0091228A">
        <w:rPr>
          <w:rFonts w:eastAsia="Times New Roman" w:cstheme="minorHAnsi"/>
          <w:lang w:eastAsia="hr-HR"/>
        </w:rPr>
        <w:t xml:space="preserve"> svijesti o važnosti sporta te pojačati promociju sporta i aktivnog turizma. Sport je neophodno u većoj mjeri koristiti za potrebe osnaživanja razvoja kontinentalnog/ruralnog turizma.</w:t>
      </w:r>
    </w:p>
    <w:p w14:paraId="56E511B8" w14:textId="68F850A4" w:rsidR="00E34011" w:rsidRPr="0091228A" w:rsidRDefault="00E34011" w:rsidP="00E34011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 xml:space="preserve">Za razvoj kulture i sporta potrebno je nastaviti povećavati izdvajanja iz proračuna, podržavati istaknute sportske i kulturne udruge u Županiji, te poticati suradnju </w:t>
      </w:r>
      <w:r w:rsidR="009F607C">
        <w:rPr>
          <w:rFonts w:eastAsia="Times New Roman" w:cstheme="minorHAnsi"/>
          <w:lang w:eastAsia="hr-HR"/>
        </w:rPr>
        <w:t>jedinica lokalne samouprave (</w:t>
      </w:r>
      <w:r w:rsidRPr="0091228A">
        <w:rPr>
          <w:rFonts w:eastAsia="Times New Roman" w:cstheme="minorHAnsi"/>
          <w:lang w:eastAsia="hr-HR"/>
        </w:rPr>
        <w:t>JLS</w:t>
      </w:r>
      <w:r w:rsidR="009F607C">
        <w:rPr>
          <w:rFonts w:eastAsia="Times New Roman" w:cstheme="minorHAnsi"/>
          <w:lang w:eastAsia="hr-HR"/>
        </w:rPr>
        <w:t>)</w:t>
      </w:r>
      <w:r w:rsidRPr="0091228A">
        <w:rPr>
          <w:rFonts w:eastAsia="Times New Roman" w:cstheme="minorHAnsi"/>
          <w:lang w:eastAsia="hr-HR"/>
        </w:rPr>
        <w:t xml:space="preserve"> u organizaciji sportskih i kulturnih događanja i manifestacija. </w:t>
      </w:r>
    </w:p>
    <w:p w14:paraId="7ECFC58B" w14:textId="38C61843" w:rsidR="00E34011" w:rsidRPr="0091228A" w:rsidRDefault="00E34011" w:rsidP="00E3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</w:rPr>
      </w:pPr>
      <w:r w:rsidRPr="00EC75EE">
        <w:rPr>
          <w:rFonts w:cstheme="minorHAnsi"/>
          <w:b/>
          <w:bCs/>
        </w:rPr>
        <w:t>Organizacije civilnog društva</w:t>
      </w:r>
      <w:r w:rsidRPr="0091228A">
        <w:rPr>
          <w:rFonts w:cstheme="minorHAnsi"/>
        </w:rPr>
        <w:t xml:space="preserve"> </w:t>
      </w:r>
      <w:r w:rsidR="009F607C">
        <w:rPr>
          <w:rFonts w:cstheme="minorHAnsi"/>
        </w:rPr>
        <w:t xml:space="preserve">u svrhu njihova daljnjeg </w:t>
      </w:r>
      <w:r w:rsidRPr="0091228A">
        <w:rPr>
          <w:rFonts w:cstheme="minorHAnsi"/>
        </w:rPr>
        <w:t>razvoj</w:t>
      </w:r>
      <w:r w:rsidR="009F607C">
        <w:rPr>
          <w:rFonts w:cstheme="minorHAnsi"/>
        </w:rPr>
        <w:t>a</w:t>
      </w:r>
      <w:r w:rsidRPr="0091228A">
        <w:rPr>
          <w:rFonts w:cstheme="minorHAnsi"/>
        </w:rPr>
        <w:t xml:space="preserve"> trebaju nova </w:t>
      </w:r>
      <w:r w:rsidRPr="0091228A">
        <w:rPr>
          <w:rFonts w:cstheme="minorHAnsi"/>
          <w:color w:val="000000"/>
        </w:rPr>
        <w:t>znanja i vještine za pripremu i provedbu razvojnih projekata</w:t>
      </w:r>
      <w:r w:rsidR="009F607C">
        <w:rPr>
          <w:rFonts w:cstheme="minorHAnsi"/>
          <w:color w:val="000000"/>
        </w:rPr>
        <w:t>.</w:t>
      </w:r>
      <w:r w:rsidR="00470D9E" w:rsidRPr="0091228A">
        <w:rPr>
          <w:rFonts w:cstheme="minorHAnsi"/>
          <w:color w:val="000000"/>
        </w:rPr>
        <w:t xml:space="preserve"> Za nastavak i jačanje aktivnosti </w:t>
      </w:r>
      <w:r w:rsidRPr="0091228A">
        <w:rPr>
          <w:rFonts w:cstheme="minorHAnsi"/>
          <w:color w:val="000000"/>
        </w:rPr>
        <w:t xml:space="preserve"> potrebno je  poboljša</w:t>
      </w:r>
      <w:r w:rsidR="00470D9E" w:rsidRPr="0091228A">
        <w:rPr>
          <w:rFonts w:cstheme="minorHAnsi"/>
          <w:color w:val="000000"/>
        </w:rPr>
        <w:t>ti</w:t>
      </w:r>
      <w:r w:rsidRPr="0091228A">
        <w:rPr>
          <w:rFonts w:cstheme="minorHAnsi"/>
          <w:color w:val="000000"/>
        </w:rPr>
        <w:t xml:space="preserve"> </w:t>
      </w:r>
      <w:r w:rsidR="00470D9E" w:rsidRPr="0091228A">
        <w:rPr>
          <w:rFonts w:cstheme="minorHAnsi"/>
          <w:color w:val="000000"/>
        </w:rPr>
        <w:t xml:space="preserve">prostorne kapacitete i omogućiti </w:t>
      </w:r>
      <w:r w:rsidRPr="0091228A">
        <w:rPr>
          <w:rFonts w:cstheme="minorHAnsi"/>
          <w:color w:val="000000"/>
        </w:rPr>
        <w:t>nabavk</w:t>
      </w:r>
      <w:r w:rsidR="00470D9E" w:rsidRPr="0091228A">
        <w:rPr>
          <w:rFonts w:cstheme="minorHAnsi"/>
          <w:color w:val="000000"/>
        </w:rPr>
        <w:t>u</w:t>
      </w:r>
      <w:r w:rsidRPr="0091228A">
        <w:rPr>
          <w:rFonts w:cstheme="minorHAnsi"/>
          <w:color w:val="000000"/>
        </w:rPr>
        <w:t xml:space="preserve"> suvremene opreme. Posebno je važno poticati sudjelovanje OCD-</w:t>
      </w:r>
      <w:r w:rsidR="009F607C">
        <w:rPr>
          <w:rFonts w:cstheme="minorHAnsi"/>
          <w:color w:val="000000"/>
        </w:rPr>
        <w:t>ov</w:t>
      </w:r>
      <w:r w:rsidRPr="0091228A">
        <w:rPr>
          <w:rFonts w:cstheme="minorHAnsi"/>
          <w:color w:val="000000"/>
        </w:rPr>
        <w:t xml:space="preserve">a u projektima socijalnog poduzetništva i socijalnih inovacija te poticati njihovo uključivanje u donošenje odluka značajnih za razvoj lokalne zajednice. Potrebno je osnažiti </w:t>
      </w:r>
      <w:r w:rsidRPr="0091228A">
        <w:rPr>
          <w:rFonts w:eastAsia="Times New Roman" w:cstheme="minorHAnsi"/>
          <w:lang w:eastAsia="hr-HR"/>
        </w:rPr>
        <w:t xml:space="preserve">i </w:t>
      </w:r>
      <w:r w:rsidR="00EE4C38">
        <w:rPr>
          <w:rFonts w:eastAsia="Times New Roman" w:cstheme="minorHAnsi"/>
          <w:lang w:eastAsia="hr-HR"/>
        </w:rPr>
        <w:t xml:space="preserve">javno </w:t>
      </w:r>
      <w:r w:rsidRPr="0091228A">
        <w:rPr>
          <w:rFonts w:cstheme="minorHAnsi"/>
          <w:color w:val="000000"/>
        </w:rPr>
        <w:t>promoviranje značaja djelovanja OCD-</w:t>
      </w:r>
      <w:r w:rsidR="00EE4C38">
        <w:rPr>
          <w:rFonts w:cstheme="minorHAnsi"/>
          <w:color w:val="000000"/>
        </w:rPr>
        <w:t>ov</w:t>
      </w:r>
      <w:r w:rsidRPr="0091228A">
        <w:rPr>
          <w:rFonts w:cstheme="minorHAnsi"/>
          <w:color w:val="000000"/>
        </w:rPr>
        <w:t>a za razvoj Županije i JLS-</w:t>
      </w:r>
      <w:r w:rsidR="00EE4C38">
        <w:rPr>
          <w:rFonts w:cstheme="minorHAnsi"/>
          <w:color w:val="000000"/>
        </w:rPr>
        <w:t>ov</w:t>
      </w:r>
      <w:r w:rsidRPr="0091228A">
        <w:rPr>
          <w:rFonts w:cstheme="minorHAnsi"/>
          <w:color w:val="000000"/>
        </w:rPr>
        <w:t>a te jačati suradnju među županijskim udrugama</w:t>
      </w:r>
      <w:r w:rsidR="00EE4C38">
        <w:rPr>
          <w:rFonts w:cstheme="minorHAnsi"/>
          <w:color w:val="000000"/>
        </w:rPr>
        <w:t>,</w:t>
      </w:r>
      <w:r w:rsidRPr="0091228A">
        <w:rPr>
          <w:rFonts w:cstheme="minorHAnsi"/>
          <w:color w:val="000000"/>
        </w:rPr>
        <w:t xml:space="preserve"> ali i s onima iz drugih područja RH te </w:t>
      </w:r>
      <w:r w:rsidR="00EE4C38">
        <w:rPr>
          <w:rFonts w:cstheme="minorHAnsi"/>
          <w:color w:val="000000"/>
        </w:rPr>
        <w:t>iz</w:t>
      </w:r>
      <w:r w:rsidRPr="0091228A">
        <w:rPr>
          <w:rFonts w:cstheme="minorHAnsi"/>
          <w:color w:val="000000"/>
        </w:rPr>
        <w:t xml:space="preserve"> inozemstvu. Također, treba poticati volonterstvo i promovirati  njegovu važnost u društvu. </w:t>
      </w:r>
    </w:p>
    <w:p w14:paraId="125C4A38" w14:textId="4744D4D5" w:rsidR="00041375" w:rsidRPr="0091228A" w:rsidRDefault="00580B39" w:rsidP="009936CE">
      <w:pPr>
        <w:jc w:val="both"/>
        <w:rPr>
          <w:rFonts w:eastAsia="Times New Roman" w:cstheme="minorHAnsi"/>
          <w:lang w:eastAsia="hr-HR"/>
        </w:rPr>
      </w:pPr>
      <w:r w:rsidRPr="00EC75EE">
        <w:rPr>
          <w:rFonts w:cstheme="minorHAnsi"/>
          <w:b/>
          <w:bCs/>
          <w:iCs/>
          <w:u w:val="single"/>
        </w:rPr>
        <w:t>Z</w:t>
      </w:r>
      <w:r w:rsidR="009936CE" w:rsidRPr="00EC75EE">
        <w:rPr>
          <w:rFonts w:cstheme="minorHAnsi"/>
          <w:b/>
          <w:bCs/>
          <w:iCs/>
          <w:u w:val="single"/>
        </w:rPr>
        <w:t>a očuvanje i unapređenje okoliša</w:t>
      </w:r>
      <w:r w:rsidR="009936CE" w:rsidRPr="0091228A">
        <w:rPr>
          <w:rFonts w:cstheme="minorHAnsi"/>
          <w:iCs/>
          <w:u w:val="single"/>
        </w:rPr>
        <w:t xml:space="preserve"> </w:t>
      </w:r>
      <w:r w:rsidR="009936CE" w:rsidRPr="0091228A">
        <w:rPr>
          <w:rFonts w:cstheme="minorHAnsi"/>
          <w:iCs/>
        </w:rPr>
        <w:t xml:space="preserve"> glavne potrebe su </w:t>
      </w:r>
      <w:r w:rsidR="009936CE" w:rsidRPr="0091228A">
        <w:rPr>
          <w:rFonts w:eastAsia="Times New Roman" w:cstheme="minorHAnsi"/>
          <w:lang w:eastAsia="hr-HR"/>
        </w:rPr>
        <w:t>osiguranje većeg stupnja zaštite tla, vode i vegetacije od onečišćenja, povećanje odvojenog sakupljanja komunalnog otpada u JLS-ovima</w:t>
      </w:r>
      <w:r w:rsidR="00470D9E" w:rsidRPr="0091228A">
        <w:rPr>
          <w:rFonts w:eastAsia="Times New Roman" w:cstheme="minorHAnsi"/>
          <w:lang w:eastAsia="hr-HR"/>
        </w:rPr>
        <w:t>. Potrebno je izgraditi r</w:t>
      </w:r>
      <w:r w:rsidR="009936CE" w:rsidRPr="0091228A">
        <w:rPr>
          <w:rFonts w:eastAsia="Times New Roman" w:cstheme="minorHAnsi"/>
          <w:lang w:eastAsia="hr-HR"/>
        </w:rPr>
        <w:t>eciklažn</w:t>
      </w:r>
      <w:r w:rsidR="00470D9E" w:rsidRPr="0091228A">
        <w:rPr>
          <w:rFonts w:eastAsia="Times New Roman" w:cstheme="minorHAnsi"/>
          <w:lang w:eastAsia="hr-HR"/>
        </w:rPr>
        <w:t>a</w:t>
      </w:r>
      <w:r w:rsidR="009936CE" w:rsidRPr="0091228A">
        <w:rPr>
          <w:rFonts w:eastAsia="Times New Roman" w:cstheme="minorHAnsi"/>
          <w:lang w:eastAsia="hr-HR"/>
        </w:rPr>
        <w:t xml:space="preserve"> dvorišta, sanira</w:t>
      </w:r>
      <w:r w:rsidR="00470D9E" w:rsidRPr="0091228A">
        <w:rPr>
          <w:rFonts w:eastAsia="Times New Roman" w:cstheme="minorHAnsi"/>
          <w:lang w:eastAsia="hr-HR"/>
        </w:rPr>
        <w:t>ti</w:t>
      </w:r>
      <w:r w:rsidR="009936CE" w:rsidRPr="0091228A">
        <w:rPr>
          <w:rFonts w:eastAsia="Times New Roman" w:cstheme="minorHAnsi"/>
          <w:lang w:eastAsia="hr-HR"/>
        </w:rPr>
        <w:t xml:space="preserve"> divlj</w:t>
      </w:r>
      <w:r w:rsidR="00470D9E" w:rsidRPr="0091228A">
        <w:rPr>
          <w:rFonts w:eastAsia="Times New Roman" w:cstheme="minorHAnsi"/>
          <w:lang w:eastAsia="hr-HR"/>
        </w:rPr>
        <w:t>a</w:t>
      </w:r>
      <w:r w:rsidR="009936CE" w:rsidRPr="0091228A">
        <w:rPr>
          <w:rFonts w:eastAsia="Times New Roman" w:cstheme="minorHAnsi"/>
          <w:lang w:eastAsia="hr-HR"/>
        </w:rPr>
        <w:t xml:space="preserve"> odlagališta te provo</w:t>
      </w:r>
      <w:r w:rsidR="00470D9E" w:rsidRPr="0091228A">
        <w:rPr>
          <w:rFonts w:eastAsia="Times New Roman" w:cstheme="minorHAnsi"/>
          <w:lang w:eastAsia="hr-HR"/>
        </w:rPr>
        <w:t>diti</w:t>
      </w:r>
      <w:r w:rsidR="009936CE" w:rsidRPr="0091228A">
        <w:rPr>
          <w:rFonts w:eastAsia="Times New Roman" w:cstheme="minorHAnsi"/>
          <w:lang w:eastAsia="hr-HR"/>
        </w:rPr>
        <w:t xml:space="preserve"> mjer</w:t>
      </w:r>
      <w:r w:rsidR="00470D9E" w:rsidRPr="0091228A">
        <w:rPr>
          <w:rFonts w:eastAsia="Times New Roman" w:cstheme="minorHAnsi"/>
          <w:lang w:eastAsia="hr-HR"/>
        </w:rPr>
        <w:t>e</w:t>
      </w:r>
      <w:r w:rsidR="009936CE" w:rsidRPr="0091228A">
        <w:rPr>
          <w:rFonts w:eastAsia="Times New Roman" w:cstheme="minorHAnsi"/>
          <w:lang w:eastAsia="hr-HR"/>
        </w:rPr>
        <w:t xml:space="preserve"> obrane od poplava. Također, </w:t>
      </w:r>
      <w:r w:rsidR="00077446">
        <w:rPr>
          <w:rFonts w:eastAsia="Times New Roman" w:cstheme="minorHAnsi"/>
          <w:lang w:eastAsia="hr-HR"/>
        </w:rPr>
        <w:t xml:space="preserve">prirodne resurse bi </w:t>
      </w:r>
      <w:r w:rsidR="009936CE" w:rsidRPr="0091228A">
        <w:rPr>
          <w:rFonts w:eastAsia="Times New Roman" w:cstheme="minorHAnsi"/>
          <w:lang w:eastAsia="hr-HR"/>
        </w:rPr>
        <w:t xml:space="preserve">u razvojnoj politici Županije  </w:t>
      </w:r>
      <w:r w:rsidR="009473E6" w:rsidRPr="0091228A">
        <w:rPr>
          <w:rFonts w:eastAsia="Times New Roman" w:cstheme="minorHAnsi"/>
          <w:lang w:eastAsia="hr-HR"/>
        </w:rPr>
        <w:t>trebal</w:t>
      </w:r>
      <w:r w:rsidR="00077446">
        <w:rPr>
          <w:rFonts w:eastAsia="Times New Roman" w:cstheme="minorHAnsi"/>
          <w:lang w:eastAsia="hr-HR"/>
        </w:rPr>
        <w:t>o</w:t>
      </w:r>
      <w:r w:rsidR="009473E6" w:rsidRPr="0091228A">
        <w:rPr>
          <w:rFonts w:eastAsia="Times New Roman" w:cstheme="minorHAnsi"/>
          <w:lang w:eastAsia="hr-HR"/>
        </w:rPr>
        <w:t xml:space="preserve"> razmatra</w:t>
      </w:r>
      <w:r w:rsidR="00077446">
        <w:rPr>
          <w:rFonts w:eastAsia="Times New Roman" w:cstheme="minorHAnsi"/>
          <w:lang w:eastAsia="hr-HR"/>
        </w:rPr>
        <w:t>ti</w:t>
      </w:r>
      <w:r w:rsidR="009473E6" w:rsidRPr="0091228A">
        <w:rPr>
          <w:rFonts w:eastAsia="Times New Roman" w:cstheme="minorHAnsi"/>
          <w:lang w:eastAsia="hr-HR"/>
        </w:rPr>
        <w:t xml:space="preserve">  kao </w:t>
      </w:r>
      <w:r w:rsidR="009936CE" w:rsidRPr="0091228A">
        <w:rPr>
          <w:rFonts w:eastAsia="Times New Roman" w:cstheme="minorHAnsi"/>
          <w:lang w:eastAsia="hr-HR"/>
        </w:rPr>
        <w:t xml:space="preserve"> čimbenik održivog razvoja.</w:t>
      </w:r>
      <w:r w:rsidR="00041375" w:rsidRPr="0091228A">
        <w:rPr>
          <w:rFonts w:eastAsia="Times New Roman" w:cstheme="minorHAnsi"/>
          <w:lang w:eastAsia="hr-HR"/>
        </w:rPr>
        <w:t xml:space="preserve"> </w:t>
      </w:r>
    </w:p>
    <w:p w14:paraId="58CA62C4" w14:textId="1D18E113" w:rsidR="009936CE" w:rsidRPr="0091228A" w:rsidRDefault="00946D5D" w:rsidP="009936CE">
      <w:pPr>
        <w:jc w:val="both"/>
        <w:rPr>
          <w:rFonts w:cstheme="minorHAnsi"/>
          <w:iCs/>
        </w:rPr>
      </w:pPr>
      <w:r w:rsidRPr="0091228A">
        <w:rPr>
          <w:rFonts w:cstheme="minorHAnsi"/>
          <w:iCs/>
        </w:rPr>
        <w:t xml:space="preserve">U svrhu </w:t>
      </w:r>
      <w:r w:rsidR="009936CE" w:rsidRPr="0091228A">
        <w:rPr>
          <w:rFonts w:cstheme="minorHAnsi"/>
          <w:iCs/>
        </w:rPr>
        <w:t>daljnj</w:t>
      </w:r>
      <w:r w:rsidRPr="0091228A">
        <w:rPr>
          <w:rFonts w:cstheme="minorHAnsi"/>
          <w:iCs/>
        </w:rPr>
        <w:t>eg</w:t>
      </w:r>
      <w:r w:rsidR="009936CE" w:rsidRPr="0091228A">
        <w:rPr>
          <w:rFonts w:cstheme="minorHAnsi"/>
          <w:iCs/>
        </w:rPr>
        <w:t xml:space="preserve"> razvoj</w:t>
      </w:r>
      <w:r w:rsidRPr="0091228A">
        <w:rPr>
          <w:rFonts w:cstheme="minorHAnsi"/>
          <w:iCs/>
        </w:rPr>
        <w:t>a</w:t>
      </w:r>
      <w:r w:rsidR="009936CE" w:rsidRPr="0091228A">
        <w:rPr>
          <w:rFonts w:cstheme="minorHAnsi"/>
          <w:iCs/>
        </w:rPr>
        <w:t xml:space="preserve"> </w:t>
      </w:r>
      <w:r w:rsidR="009936CE" w:rsidRPr="00EC75EE">
        <w:rPr>
          <w:rFonts w:cstheme="minorHAnsi"/>
          <w:b/>
          <w:bCs/>
          <w:iCs/>
        </w:rPr>
        <w:t>vodne i energetske infrastrukture</w:t>
      </w:r>
      <w:r w:rsidR="009936CE" w:rsidRPr="0091228A">
        <w:rPr>
          <w:rFonts w:cstheme="minorHAnsi"/>
          <w:iCs/>
        </w:rPr>
        <w:t xml:space="preserve"> </w:t>
      </w:r>
      <w:r w:rsidRPr="0091228A">
        <w:rPr>
          <w:rFonts w:cstheme="minorHAnsi"/>
          <w:iCs/>
        </w:rPr>
        <w:t xml:space="preserve">potrebno je </w:t>
      </w:r>
      <w:r w:rsidR="009936CE" w:rsidRPr="0091228A">
        <w:rPr>
          <w:rFonts w:eastAsia="Times New Roman" w:cstheme="minorHAnsi"/>
          <w:lang w:eastAsia="hr-HR"/>
        </w:rPr>
        <w:t>proš</w:t>
      </w:r>
      <w:r w:rsidR="00470D9E" w:rsidRPr="0091228A">
        <w:rPr>
          <w:rFonts w:eastAsia="Times New Roman" w:cstheme="minorHAnsi"/>
          <w:lang w:eastAsia="hr-HR"/>
        </w:rPr>
        <w:t>iriti</w:t>
      </w:r>
      <w:r w:rsidR="009936CE" w:rsidRPr="0091228A">
        <w:rPr>
          <w:rFonts w:eastAsia="Times New Roman" w:cstheme="minorHAnsi"/>
          <w:lang w:eastAsia="hr-HR"/>
        </w:rPr>
        <w:t xml:space="preserve"> vodovodn</w:t>
      </w:r>
      <w:r w:rsidR="00470D9E" w:rsidRPr="0091228A">
        <w:rPr>
          <w:rFonts w:eastAsia="Times New Roman" w:cstheme="minorHAnsi"/>
          <w:lang w:eastAsia="hr-HR"/>
        </w:rPr>
        <w:t>u</w:t>
      </w:r>
      <w:r w:rsidR="009936CE" w:rsidRPr="0091228A">
        <w:rPr>
          <w:rFonts w:eastAsia="Times New Roman" w:cstheme="minorHAnsi"/>
          <w:lang w:eastAsia="hr-HR"/>
        </w:rPr>
        <w:t xml:space="preserve"> mrež</w:t>
      </w:r>
      <w:r w:rsidR="00470D9E" w:rsidRPr="0091228A">
        <w:rPr>
          <w:rFonts w:eastAsia="Times New Roman" w:cstheme="minorHAnsi"/>
          <w:lang w:eastAsia="hr-HR"/>
        </w:rPr>
        <w:t>u</w:t>
      </w:r>
      <w:r w:rsidR="009936CE" w:rsidRPr="0091228A">
        <w:rPr>
          <w:rFonts w:cstheme="minorHAnsi"/>
          <w:iCs/>
        </w:rPr>
        <w:t xml:space="preserve">, </w:t>
      </w:r>
      <w:r w:rsidR="009936CE" w:rsidRPr="0091228A">
        <w:rPr>
          <w:rFonts w:eastAsia="Times New Roman" w:cstheme="minorHAnsi"/>
          <w:lang w:eastAsia="hr-HR"/>
        </w:rPr>
        <w:t>nadograd</w:t>
      </w:r>
      <w:r w:rsidR="00470D9E" w:rsidRPr="0091228A">
        <w:rPr>
          <w:rFonts w:eastAsia="Times New Roman" w:cstheme="minorHAnsi"/>
          <w:lang w:eastAsia="hr-HR"/>
        </w:rPr>
        <w:t>iti</w:t>
      </w:r>
      <w:r w:rsidR="009936CE" w:rsidRPr="0091228A">
        <w:rPr>
          <w:rFonts w:eastAsia="Times New Roman" w:cstheme="minorHAnsi"/>
          <w:lang w:eastAsia="hr-HR"/>
        </w:rPr>
        <w:t xml:space="preserve"> postoje</w:t>
      </w:r>
      <w:r w:rsidR="00077446">
        <w:rPr>
          <w:rFonts w:eastAsia="Times New Roman" w:cstheme="minorHAnsi"/>
          <w:lang w:eastAsia="hr-HR"/>
        </w:rPr>
        <w:t>će</w:t>
      </w:r>
      <w:r w:rsidR="009936CE" w:rsidRPr="0091228A">
        <w:rPr>
          <w:rFonts w:eastAsia="Times New Roman" w:cstheme="minorHAnsi"/>
          <w:lang w:eastAsia="hr-HR"/>
        </w:rPr>
        <w:t xml:space="preserve"> i izgrad</w:t>
      </w:r>
      <w:r w:rsidR="00470D9E" w:rsidRPr="0091228A">
        <w:rPr>
          <w:rFonts w:eastAsia="Times New Roman" w:cstheme="minorHAnsi"/>
          <w:lang w:eastAsia="hr-HR"/>
        </w:rPr>
        <w:t>iti</w:t>
      </w:r>
      <w:r w:rsidR="009936CE" w:rsidRPr="0091228A">
        <w:rPr>
          <w:rFonts w:eastAsia="Times New Roman" w:cstheme="minorHAnsi"/>
          <w:lang w:eastAsia="hr-HR"/>
        </w:rPr>
        <w:t xml:space="preserve"> nov</w:t>
      </w:r>
      <w:r w:rsidR="00470D9E" w:rsidRPr="0091228A">
        <w:rPr>
          <w:rFonts w:eastAsia="Times New Roman" w:cstheme="minorHAnsi"/>
          <w:lang w:eastAsia="hr-HR"/>
        </w:rPr>
        <w:t>e</w:t>
      </w:r>
      <w:r w:rsidR="009936CE" w:rsidRPr="0091228A">
        <w:rPr>
          <w:rFonts w:eastAsia="Times New Roman" w:cstheme="minorHAnsi"/>
          <w:lang w:eastAsia="hr-HR"/>
        </w:rPr>
        <w:t xml:space="preserve"> sustav</w:t>
      </w:r>
      <w:r w:rsidR="00470D9E" w:rsidRPr="0091228A">
        <w:rPr>
          <w:rFonts w:eastAsia="Times New Roman" w:cstheme="minorHAnsi"/>
          <w:lang w:eastAsia="hr-HR"/>
        </w:rPr>
        <w:t>e</w:t>
      </w:r>
      <w:r w:rsidR="009936CE" w:rsidRPr="0091228A">
        <w:rPr>
          <w:rFonts w:eastAsia="Times New Roman" w:cstheme="minorHAnsi"/>
          <w:lang w:eastAsia="hr-HR"/>
        </w:rPr>
        <w:t xml:space="preserve"> odvodnje</w:t>
      </w:r>
      <w:r w:rsidR="009936CE" w:rsidRPr="0091228A">
        <w:rPr>
          <w:rFonts w:cstheme="minorHAnsi"/>
          <w:iCs/>
        </w:rPr>
        <w:t xml:space="preserve">, </w:t>
      </w:r>
      <w:r w:rsidR="009936CE" w:rsidRPr="0091228A">
        <w:rPr>
          <w:rFonts w:eastAsia="Times New Roman" w:cstheme="minorHAnsi"/>
          <w:lang w:eastAsia="hr-HR"/>
        </w:rPr>
        <w:t>izgrad</w:t>
      </w:r>
      <w:r w:rsidR="00470D9E" w:rsidRPr="0091228A">
        <w:rPr>
          <w:rFonts w:eastAsia="Times New Roman" w:cstheme="minorHAnsi"/>
          <w:lang w:eastAsia="hr-HR"/>
        </w:rPr>
        <w:t>iti</w:t>
      </w:r>
      <w:r w:rsidR="009936CE" w:rsidRPr="0091228A">
        <w:rPr>
          <w:rFonts w:eastAsia="Times New Roman" w:cstheme="minorHAnsi"/>
          <w:lang w:eastAsia="hr-HR"/>
        </w:rPr>
        <w:t xml:space="preserve"> uređaj</w:t>
      </w:r>
      <w:r w:rsidR="00470D9E" w:rsidRPr="0091228A">
        <w:rPr>
          <w:rFonts w:eastAsia="Times New Roman" w:cstheme="minorHAnsi"/>
          <w:lang w:eastAsia="hr-HR"/>
        </w:rPr>
        <w:t>e</w:t>
      </w:r>
      <w:r w:rsidR="009936CE" w:rsidRPr="0091228A">
        <w:rPr>
          <w:rFonts w:eastAsia="Times New Roman" w:cstheme="minorHAnsi"/>
          <w:lang w:eastAsia="hr-HR"/>
        </w:rPr>
        <w:t xml:space="preserve"> </w:t>
      </w:r>
      <w:r w:rsidR="00470D9E" w:rsidRPr="0091228A">
        <w:rPr>
          <w:rFonts w:eastAsia="Times New Roman" w:cstheme="minorHAnsi"/>
          <w:lang w:eastAsia="hr-HR"/>
        </w:rPr>
        <w:t xml:space="preserve">s višim </w:t>
      </w:r>
      <w:r w:rsidR="009936CE" w:rsidRPr="0091228A">
        <w:rPr>
          <w:rFonts w:eastAsia="Times New Roman" w:cstheme="minorHAnsi"/>
          <w:lang w:eastAsia="hr-HR"/>
        </w:rPr>
        <w:t>stupnj</w:t>
      </w:r>
      <w:r w:rsidR="00470D9E" w:rsidRPr="0091228A">
        <w:rPr>
          <w:rFonts w:eastAsia="Times New Roman" w:cstheme="minorHAnsi"/>
          <w:lang w:eastAsia="hr-HR"/>
        </w:rPr>
        <w:t>em</w:t>
      </w:r>
      <w:r w:rsidR="009936CE" w:rsidRPr="0091228A">
        <w:rPr>
          <w:rFonts w:eastAsia="Times New Roman" w:cstheme="minorHAnsi"/>
          <w:lang w:eastAsia="hr-HR"/>
        </w:rPr>
        <w:t xml:space="preserve"> pročišćavanja otpadnih voda,  poveća</w:t>
      </w:r>
      <w:r w:rsidR="00470D9E" w:rsidRPr="0091228A">
        <w:rPr>
          <w:rFonts w:eastAsia="Times New Roman" w:cstheme="minorHAnsi"/>
          <w:lang w:eastAsia="hr-HR"/>
        </w:rPr>
        <w:t>ti</w:t>
      </w:r>
      <w:r w:rsidR="009936CE" w:rsidRPr="0091228A">
        <w:rPr>
          <w:rFonts w:eastAsia="Times New Roman" w:cstheme="minorHAnsi"/>
          <w:lang w:eastAsia="hr-HR"/>
        </w:rPr>
        <w:t xml:space="preserve"> plinofikacijske mreže </w:t>
      </w:r>
      <w:r w:rsidR="009936CE" w:rsidRPr="0091228A">
        <w:rPr>
          <w:rFonts w:cstheme="minorHAnsi"/>
          <w:iCs/>
        </w:rPr>
        <w:t xml:space="preserve"> </w:t>
      </w:r>
      <w:r w:rsidR="00077446">
        <w:rPr>
          <w:rFonts w:eastAsia="Times New Roman" w:cstheme="minorHAnsi"/>
          <w:lang w:eastAsia="hr-HR"/>
        </w:rPr>
        <w:t xml:space="preserve">te </w:t>
      </w:r>
      <w:r w:rsidR="00470D9E" w:rsidRPr="0091228A">
        <w:rPr>
          <w:rFonts w:eastAsia="Times New Roman" w:cstheme="minorHAnsi"/>
          <w:lang w:eastAsia="hr-HR"/>
        </w:rPr>
        <w:t>korištenje</w:t>
      </w:r>
      <w:r w:rsidR="009936CE" w:rsidRPr="0091228A">
        <w:rPr>
          <w:rFonts w:eastAsia="Times New Roman" w:cstheme="minorHAnsi"/>
          <w:lang w:eastAsia="hr-HR"/>
        </w:rPr>
        <w:t xml:space="preserve"> obnovljivih izvora energije.</w:t>
      </w:r>
    </w:p>
    <w:p w14:paraId="006378E9" w14:textId="5C8CD2A2" w:rsidR="009936CE" w:rsidRPr="0091228A" w:rsidRDefault="009936CE" w:rsidP="009936CE">
      <w:pPr>
        <w:jc w:val="both"/>
        <w:rPr>
          <w:rFonts w:eastAsia="Times New Roman" w:cstheme="minorHAnsi"/>
          <w:lang w:eastAsia="hr-HR"/>
        </w:rPr>
      </w:pPr>
      <w:r w:rsidRPr="0091228A">
        <w:rPr>
          <w:rFonts w:cs="Times New Roman"/>
          <w:lang w:eastAsia="hr-HR"/>
        </w:rPr>
        <w:lastRenderedPageBreak/>
        <w:t xml:space="preserve">U sektoru </w:t>
      </w:r>
      <w:r w:rsidRPr="00EC75EE">
        <w:rPr>
          <w:rFonts w:cs="Times New Roman"/>
          <w:b/>
          <w:bCs/>
          <w:lang w:eastAsia="hr-HR"/>
        </w:rPr>
        <w:t>prometa</w:t>
      </w:r>
      <w:r w:rsidRPr="0091228A">
        <w:rPr>
          <w:rFonts w:cs="Times New Roman"/>
          <w:lang w:eastAsia="hr-HR"/>
        </w:rPr>
        <w:t xml:space="preserve">  potrebno je povećati ulaganja za  održavanje županijskih i lokalnih cesta</w:t>
      </w:r>
      <w:r w:rsidR="00470D9E" w:rsidRPr="0091228A">
        <w:rPr>
          <w:rFonts w:cs="Times New Roman"/>
          <w:lang w:eastAsia="hr-HR"/>
        </w:rPr>
        <w:t xml:space="preserve"> i </w:t>
      </w:r>
      <w:r w:rsidRPr="0091228A">
        <w:rPr>
          <w:rFonts w:cs="Times New Roman"/>
          <w:lang w:eastAsia="hr-HR"/>
        </w:rPr>
        <w:t xml:space="preserve"> </w:t>
      </w:r>
      <w:r w:rsidRPr="0091228A">
        <w:rPr>
          <w:rFonts w:ascii="Calibri" w:eastAsia="Calibri" w:hAnsi="Calibri" w:cs="Times New Roman"/>
          <w:bCs/>
        </w:rPr>
        <w:t xml:space="preserve">poboljšati </w:t>
      </w:r>
      <w:r w:rsidR="00470D9E" w:rsidRPr="0091228A">
        <w:rPr>
          <w:rFonts w:ascii="Calibri" w:eastAsia="Calibri" w:hAnsi="Calibri" w:cs="Times New Roman"/>
          <w:bCs/>
        </w:rPr>
        <w:t xml:space="preserve">prometnu </w:t>
      </w:r>
      <w:r w:rsidRPr="0091228A">
        <w:rPr>
          <w:rFonts w:ascii="Calibri" w:eastAsia="Calibri" w:hAnsi="Calibri" w:cs="Times New Roman"/>
          <w:bCs/>
        </w:rPr>
        <w:t>povezanost brdsko</w:t>
      </w:r>
      <w:r w:rsidR="009473E6" w:rsidRPr="0091228A">
        <w:rPr>
          <w:rFonts w:ascii="Calibri" w:eastAsia="Calibri" w:hAnsi="Calibri" w:cs="Times New Roman"/>
          <w:bCs/>
        </w:rPr>
        <w:t>g</w:t>
      </w:r>
      <w:r w:rsidRPr="0091228A">
        <w:rPr>
          <w:rFonts w:ascii="Calibri" w:eastAsia="Calibri" w:hAnsi="Calibri" w:cs="Times New Roman"/>
          <w:bCs/>
        </w:rPr>
        <w:t xml:space="preserve"> dijela Županije. </w:t>
      </w:r>
      <w:r w:rsidR="007C6A0A" w:rsidRPr="0091228A">
        <w:rPr>
          <w:rFonts w:ascii="Calibri" w:eastAsia="Calibri" w:hAnsi="Calibri" w:cs="Times New Roman"/>
          <w:bCs/>
        </w:rPr>
        <w:t xml:space="preserve">Potrebno je </w:t>
      </w:r>
      <w:r w:rsidRPr="0091228A">
        <w:rPr>
          <w:rFonts w:eastAsia="Times New Roman" w:cstheme="minorHAnsi"/>
          <w:lang w:eastAsia="hr-HR"/>
        </w:rPr>
        <w:t xml:space="preserve">povećati </w:t>
      </w:r>
      <w:r w:rsidR="00077446">
        <w:rPr>
          <w:rFonts w:eastAsia="Times New Roman" w:cstheme="minorHAnsi"/>
          <w:lang w:eastAsia="hr-HR"/>
        </w:rPr>
        <w:t xml:space="preserve">i </w:t>
      </w:r>
      <w:r w:rsidRPr="0091228A">
        <w:rPr>
          <w:rFonts w:eastAsia="Times New Roman" w:cstheme="minorHAnsi"/>
          <w:lang w:eastAsia="hr-HR"/>
        </w:rPr>
        <w:t xml:space="preserve">ulaganja u razvoj internetske širokopojasne infrastrukture. Također, </w:t>
      </w:r>
      <w:r w:rsidR="003D442A">
        <w:rPr>
          <w:rFonts w:eastAsia="Times New Roman" w:cstheme="minorHAnsi"/>
          <w:lang w:eastAsia="hr-HR"/>
        </w:rPr>
        <w:t xml:space="preserve">trebalo bi </w:t>
      </w:r>
      <w:r w:rsidRPr="0091228A">
        <w:rPr>
          <w:rFonts w:eastAsia="Times New Roman" w:cstheme="minorHAnsi"/>
          <w:lang w:eastAsia="hr-HR"/>
        </w:rPr>
        <w:t xml:space="preserve">uložiti više sredstava u </w:t>
      </w:r>
      <w:r w:rsidR="003D442A">
        <w:rPr>
          <w:rFonts w:eastAsia="Times New Roman" w:cstheme="minorHAnsi"/>
          <w:lang w:eastAsia="hr-HR"/>
        </w:rPr>
        <w:t>iz</w:t>
      </w:r>
      <w:r w:rsidRPr="0091228A">
        <w:rPr>
          <w:rFonts w:eastAsia="Times New Roman" w:cstheme="minorHAnsi"/>
          <w:lang w:eastAsia="hr-HR"/>
        </w:rPr>
        <w:t xml:space="preserve">gradnju biciklističke infrastrukture </w:t>
      </w:r>
      <w:r w:rsidR="003D442A">
        <w:rPr>
          <w:rFonts w:eastAsia="Times New Roman" w:cstheme="minorHAnsi"/>
          <w:lang w:eastAsia="hr-HR"/>
        </w:rPr>
        <w:t>te</w:t>
      </w:r>
      <w:r w:rsidRPr="0091228A">
        <w:rPr>
          <w:rFonts w:eastAsia="Times New Roman" w:cstheme="minorHAnsi"/>
          <w:lang w:eastAsia="hr-HR"/>
        </w:rPr>
        <w:t xml:space="preserve"> nastaviti razvoj mreže elektropunjača na području Županije.</w:t>
      </w:r>
    </w:p>
    <w:p w14:paraId="50556E06" w14:textId="21796838" w:rsidR="009936CE" w:rsidRPr="0091228A" w:rsidRDefault="00946D5D" w:rsidP="00520585">
      <w:pPr>
        <w:jc w:val="both"/>
      </w:pPr>
      <w:r w:rsidRPr="0091228A">
        <w:rPr>
          <w:bCs/>
          <w:iCs/>
          <w:u w:val="single"/>
        </w:rPr>
        <w:t xml:space="preserve">Radi unapređenja </w:t>
      </w:r>
      <w:r w:rsidR="009936CE" w:rsidRPr="0091228A">
        <w:rPr>
          <w:bCs/>
          <w:iCs/>
          <w:u w:val="single"/>
        </w:rPr>
        <w:t xml:space="preserve"> </w:t>
      </w:r>
      <w:r w:rsidR="009936CE" w:rsidRPr="00EC75EE">
        <w:rPr>
          <w:b/>
          <w:iCs/>
          <w:u w:val="single"/>
        </w:rPr>
        <w:t xml:space="preserve">upravljanja </w:t>
      </w:r>
      <w:r w:rsidR="00041375" w:rsidRPr="00EC75EE">
        <w:rPr>
          <w:b/>
          <w:iCs/>
          <w:u w:val="single"/>
        </w:rPr>
        <w:t>razvojem</w:t>
      </w:r>
      <w:r w:rsidR="00041375" w:rsidRPr="0091228A">
        <w:rPr>
          <w:bCs/>
          <w:iCs/>
        </w:rPr>
        <w:t xml:space="preserve"> Brodsko-posavske županije </w:t>
      </w:r>
      <w:r w:rsidR="009936CE" w:rsidRPr="0091228A">
        <w:rPr>
          <w:bCs/>
          <w:iCs/>
        </w:rPr>
        <w:t xml:space="preserve">potrebno je </w:t>
      </w:r>
      <w:r w:rsidR="009936CE" w:rsidRPr="0091228A">
        <w:t>jačati transparentnost rada uprave</w:t>
      </w:r>
      <w:r w:rsidR="00041375" w:rsidRPr="0091228A">
        <w:t xml:space="preserve">, poticati i omogućiti </w:t>
      </w:r>
      <w:r w:rsidR="009936CE" w:rsidRPr="0091228A">
        <w:t xml:space="preserve">uključivanje građana kroz participativno upravljanje, osnažiti koordinaciju i suradnju tijela unutar Županije, kao i suradnju s JLS-ovima, ali i s drugim županijama. Potrebno je proširivati upravljačka znanja i vještine zaposlenika u svim županijskim tijelima i nastaviti jačati kapacitete za pripremu i provedbu projekata financiranih iz fondova EU-a i drugih izvora. Treba </w:t>
      </w:r>
      <w:r w:rsidR="007C6A0A" w:rsidRPr="0091228A">
        <w:t xml:space="preserve">ujedno </w:t>
      </w:r>
      <w:r w:rsidR="009936CE" w:rsidRPr="0091228A">
        <w:t>razviti sustav praćenja i vrednovanja županijskih i lokalnih razvojnih programa i planova na raz</w:t>
      </w:r>
      <w:r w:rsidR="003D442A">
        <w:t>i</w:t>
      </w:r>
      <w:r w:rsidR="009936CE" w:rsidRPr="0091228A">
        <w:t xml:space="preserve">ni Županije. </w:t>
      </w:r>
      <w:r w:rsidR="00B55734" w:rsidRPr="0091228A">
        <w:t>Za poboljšanje dostupnosti javnih usluga nužno je osigurati porast razine digitalizacije javnih usluga.</w:t>
      </w:r>
    </w:p>
    <w:p w14:paraId="4C18D305" w14:textId="499FFE3D" w:rsidR="009936CE" w:rsidRPr="0091228A" w:rsidRDefault="007C6A0A" w:rsidP="00520585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 xml:space="preserve">Kako bi se ostvarilo  unapređenje </w:t>
      </w:r>
      <w:r w:rsidR="009936CE" w:rsidRPr="0091228A">
        <w:rPr>
          <w:rFonts w:eastAsia="Times New Roman" w:cstheme="minorHAnsi"/>
          <w:lang w:eastAsia="hr-HR"/>
        </w:rPr>
        <w:t>daljnj</w:t>
      </w:r>
      <w:r w:rsidRPr="0091228A">
        <w:rPr>
          <w:rFonts w:eastAsia="Times New Roman" w:cstheme="minorHAnsi"/>
          <w:lang w:eastAsia="hr-HR"/>
        </w:rPr>
        <w:t>eg</w:t>
      </w:r>
      <w:r w:rsidR="009936CE" w:rsidRPr="0091228A">
        <w:rPr>
          <w:rFonts w:eastAsia="Times New Roman" w:cstheme="minorHAnsi"/>
          <w:lang w:eastAsia="hr-HR"/>
        </w:rPr>
        <w:t xml:space="preserve"> </w:t>
      </w:r>
      <w:r w:rsidR="009936CE" w:rsidRPr="00EC75EE">
        <w:rPr>
          <w:rFonts w:eastAsia="Times New Roman" w:cstheme="minorHAnsi"/>
          <w:b/>
          <w:bCs/>
          <w:lang w:eastAsia="hr-HR"/>
        </w:rPr>
        <w:t>prostorn</w:t>
      </w:r>
      <w:r w:rsidRPr="00EC75EE">
        <w:rPr>
          <w:rFonts w:eastAsia="Times New Roman" w:cstheme="minorHAnsi"/>
          <w:b/>
          <w:bCs/>
          <w:lang w:eastAsia="hr-HR"/>
        </w:rPr>
        <w:t>og</w:t>
      </w:r>
      <w:r w:rsidR="009936CE" w:rsidRPr="00EC75EE">
        <w:rPr>
          <w:rFonts w:eastAsia="Times New Roman" w:cstheme="minorHAnsi"/>
          <w:b/>
          <w:bCs/>
          <w:lang w:eastAsia="hr-HR"/>
        </w:rPr>
        <w:t xml:space="preserve"> razvoj</w:t>
      </w:r>
      <w:r w:rsidRPr="00EC75EE">
        <w:rPr>
          <w:rFonts w:eastAsia="Times New Roman" w:cstheme="minorHAnsi"/>
          <w:b/>
          <w:bCs/>
          <w:lang w:eastAsia="hr-HR"/>
        </w:rPr>
        <w:t>a</w:t>
      </w:r>
      <w:r w:rsidR="009936CE" w:rsidRPr="0091228A">
        <w:rPr>
          <w:rFonts w:eastAsia="Times New Roman" w:cstheme="minorHAnsi"/>
          <w:lang w:eastAsia="hr-HR"/>
        </w:rPr>
        <w:t xml:space="preserve"> Županije</w:t>
      </w:r>
      <w:r w:rsidRPr="0091228A">
        <w:rPr>
          <w:rFonts w:eastAsia="Times New Roman" w:cstheme="minorHAnsi"/>
          <w:lang w:eastAsia="hr-HR"/>
        </w:rPr>
        <w:t xml:space="preserve"> potrebno je </w:t>
      </w:r>
      <w:r w:rsidR="00470D9E" w:rsidRPr="0091228A">
        <w:rPr>
          <w:rFonts w:eastAsia="Times New Roman" w:cstheme="minorHAnsi"/>
          <w:lang w:eastAsia="hr-HR"/>
        </w:rPr>
        <w:t xml:space="preserve">nastaviti  </w:t>
      </w:r>
      <w:r w:rsidR="009936CE" w:rsidRPr="0091228A">
        <w:rPr>
          <w:rFonts w:eastAsia="Times New Roman" w:cstheme="minorHAnsi"/>
          <w:lang w:eastAsia="hr-HR"/>
        </w:rPr>
        <w:t xml:space="preserve"> planiranje i održivo korištenj</w:t>
      </w:r>
      <w:r w:rsidR="00470D9E" w:rsidRPr="0091228A">
        <w:rPr>
          <w:rFonts w:eastAsia="Times New Roman" w:cstheme="minorHAnsi"/>
          <w:lang w:eastAsia="hr-HR"/>
        </w:rPr>
        <w:t>e</w:t>
      </w:r>
      <w:r w:rsidR="009936CE" w:rsidRPr="0091228A">
        <w:rPr>
          <w:rFonts w:eastAsia="Times New Roman" w:cstheme="minorHAnsi"/>
          <w:lang w:eastAsia="hr-HR"/>
        </w:rPr>
        <w:t xml:space="preserve"> prostora, praćenje stvarnog korištenja i planirane namjene zemljišta te </w:t>
      </w:r>
      <w:r w:rsidR="00470D9E" w:rsidRPr="0091228A">
        <w:rPr>
          <w:rFonts w:eastAsia="Times New Roman" w:cstheme="minorHAnsi"/>
          <w:lang w:eastAsia="hr-HR"/>
        </w:rPr>
        <w:t xml:space="preserve">jačati </w:t>
      </w:r>
      <w:r w:rsidR="009936CE" w:rsidRPr="0091228A">
        <w:rPr>
          <w:rFonts w:eastAsia="Times New Roman" w:cstheme="minorHAnsi"/>
          <w:lang w:eastAsia="hr-HR"/>
        </w:rPr>
        <w:t>kontrol</w:t>
      </w:r>
      <w:r w:rsidR="00470D9E" w:rsidRPr="0091228A">
        <w:rPr>
          <w:rFonts w:eastAsia="Times New Roman" w:cstheme="minorHAnsi"/>
          <w:lang w:eastAsia="hr-HR"/>
        </w:rPr>
        <w:t>u</w:t>
      </w:r>
      <w:r w:rsidR="009936CE" w:rsidRPr="0091228A">
        <w:rPr>
          <w:rFonts w:eastAsia="Times New Roman" w:cstheme="minorHAnsi"/>
          <w:lang w:eastAsia="hr-HR"/>
        </w:rPr>
        <w:t xml:space="preserve"> urbanizacije</w:t>
      </w:r>
      <w:r w:rsidR="00470D9E" w:rsidRPr="0091228A">
        <w:rPr>
          <w:rFonts w:eastAsia="Times New Roman" w:cstheme="minorHAnsi"/>
          <w:lang w:eastAsia="hr-HR"/>
        </w:rPr>
        <w:t>. Aktivnosti treba usmjeriti na</w:t>
      </w:r>
      <w:r w:rsidR="009936CE" w:rsidRPr="0091228A">
        <w:rPr>
          <w:rFonts w:eastAsia="Times New Roman" w:cstheme="minorHAnsi"/>
          <w:lang w:eastAsia="hr-HR"/>
        </w:rPr>
        <w:t xml:space="preserve"> otklanjanje pritisaka nezakonite gradnje, obnov</w:t>
      </w:r>
      <w:r w:rsidR="00470D9E" w:rsidRPr="0091228A">
        <w:rPr>
          <w:rFonts w:eastAsia="Times New Roman" w:cstheme="minorHAnsi"/>
          <w:lang w:eastAsia="hr-HR"/>
        </w:rPr>
        <w:t>u</w:t>
      </w:r>
      <w:r w:rsidR="009936CE" w:rsidRPr="0091228A">
        <w:rPr>
          <w:rFonts w:eastAsia="Times New Roman" w:cstheme="minorHAnsi"/>
          <w:lang w:eastAsia="hr-HR"/>
        </w:rPr>
        <w:t xml:space="preserve"> i uređenje povijesnih  središta  gradova  i  ostalih  naselja radi očuvanja karaktera i vrijednosti krajobraza</w:t>
      </w:r>
      <w:r w:rsidRPr="0091228A">
        <w:rPr>
          <w:rFonts w:eastAsia="Times New Roman" w:cstheme="minorHAnsi"/>
          <w:lang w:eastAsia="hr-HR"/>
        </w:rPr>
        <w:t xml:space="preserve"> te </w:t>
      </w:r>
      <w:r w:rsidR="009936CE" w:rsidRPr="0091228A">
        <w:rPr>
          <w:rFonts w:eastAsia="Times New Roman" w:cstheme="minorHAnsi"/>
          <w:lang w:eastAsia="hr-HR"/>
        </w:rPr>
        <w:t xml:space="preserve">smanjivane </w:t>
      </w:r>
      <w:r w:rsidR="009936CE" w:rsidRPr="0091228A">
        <w:rPr>
          <w:rFonts w:eastAsia="Times New Roman" w:cstheme="minorHAnsi"/>
          <w:bCs/>
          <w:lang w:eastAsia="hr-HR"/>
        </w:rPr>
        <w:t>rizika od poplava i klizišta. Također,</w:t>
      </w:r>
      <w:r w:rsidRPr="0091228A">
        <w:rPr>
          <w:rFonts w:eastAsia="Times New Roman" w:cstheme="minorHAnsi"/>
          <w:bCs/>
          <w:lang w:eastAsia="hr-HR"/>
        </w:rPr>
        <w:t xml:space="preserve"> </w:t>
      </w:r>
      <w:r w:rsidR="009936CE" w:rsidRPr="0091228A">
        <w:rPr>
          <w:rFonts w:eastAsia="Times New Roman" w:cstheme="minorHAnsi"/>
          <w:lang w:eastAsia="hr-HR"/>
        </w:rPr>
        <w:t xml:space="preserve">potrebna je i edukacija djelatnika u tijelima nadležnim za prostorno uređenje </w:t>
      </w:r>
      <w:r w:rsidR="00F24307">
        <w:rPr>
          <w:rFonts w:eastAsia="Times New Roman" w:cstheme="minorHAnsi"/>
          <w:lang w:eastAsia="hr-HR"/>
        </w:rPr>
        <w:t>radi</w:t>
      </w:r>
      <w:r w:rsidR="009936CE" w:rsidRPr="0091228A">
        <w:rPr>
          <w:rFonts w:eastAsia="Times New Roman" w:cstheme="minorHAnsi"/>
          <w:lang w:eastAsia="hr-HR"/>
        </w:rPr>
        <w:t xml:space="preserve"> prilagodbe klimatskim promjenama kroz prostorne planove kao i edukacija građana za aktivno sudjelovanje u procesima prostornog planiranja.</w:t>
      </w:r>
    </w:p>
    <w:p w14:paraId="72D7ECCC" w14:textId="04EB4131" w:rsidR="008100B5" w:rsidRPr="001166C1" w:rsidRDefault="00520585" w:rsidP="00520585">
      <w:pPr>
        <w:pStyle w:val="Naslov2"/>
        <w:rPr>
          <w:u w:val="single"/>
        </w:rPr>
      </w:pPr>
      <w:bookmarkStart w:id="11" w:name="_Toc84938282"/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3.3.</w:t>
      </w:r>
      <w:r w:rsidR="005C728F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D00594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RAZVOJNI </w:t>
      </w:r>
      <w:r w:rsidR="008100B5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POTENCIJAL</w:t>
      </w:r>
      <w:r w:rsidR="00E91BF4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</w:t>
      </w:r>
      <w:bookmarkEnd w:id="11"/>
    </w:p>
    <w:p w14:paraId="1C660DF6" w14:textId="3A45DD07" w:rsidR="00000E58" w:rsidRPr="0091228A" w:rsidRDefault="00000E58" w:rsidP="008100B5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Razvojni potencijal Brodsko-posavske županije najuže je vezan </w:t>
      </w:r>
      <w:r w:rsidR="00F24307">
        <w:rPr>
          <w:rFonts w:cstheme="minorHAnsi"/>
        </w:rPr>
        <w:t>z</w:t>
      </w:r>
      <w:r w:rsidRPr="0091228A">
        <w:rPr>
          <w:rFonts w:cstheme="minorHAnsi"/>
        </w:rPr>
        <w:t xml:space="preserve">a snage </w:t>
      </w:r>
      <w:r w:rsidR="00F24307" w:rsidRPr="0091228A">
        <w:rPr>
          <w:rFonts w:cstheme="minorHAnsi"/>
        </w:rPr>
        <w:t xml:space="preserve">utvrđene </w:t>
      </w:r>
      <w:r w:rsidRPr="0091228A">
        <w:rPr>
          <w:rFonts w:cstheme="minorHAnsi"/>
        </w:rPr>
        <w:t xml:space="preserve">u svim ključnim segmentima razvoja </w:t>
      </w:r>
      <w:r w:rsidR="00F24307">
        <w:rPr>
          <w:rFonts w:cstheme="minorHAnsi"/>
        </w:rPr>
        <w:t>Ž</w:t>
      </w:r>
      <w:r w:rsidRPr="0091228A">
        <w:rPr>
          <w:rFonts w:cstheme="minorHAnsi"/>
        </w:rPr>
        <w:t xml:space="preserve">upanije. </w:t>
      </w:r>
    </w:p>
    <w:p w14:paraId="6F48F297" w14:textId="2A2F973C" w:rsidR="00F63F32" w:rsidRPr="0091228A" w:rsidRDefault="00BC2858" w:rsidP="00B55734">
      <w:pPr>
        <w:jc w:val="both"/>
        <w:rPr>
          <w:rFonts w:eastAsia="Times New Roman" w:cstheme="minorHAnsi"/>
          <w:bCs/>
          <w:lang w:eastAsia="hr-HR"/>
        </w:rPr>
      </w:pPr>
      <w:r w:rsidRPr="0091228A">
        <w:rPr>
          <w:rFonts w:eastAsia="Times New Roman" w:cstheme="minorHAnsi"/>
          <w:bCs/>
          <w:lang w:eastAsia="hr-HR"/>
        </w:rPr>
        <w:t xml:space="preserve">U segmentu </w:t>
      </w:r>
      <w:r w:rsidRPr="00502EED">
        <w:rPr>
          <w:rFonts w:eastAsia="Times New Roman" w:cstheme="minorHAnsi"/>
          <w:b/>
          <w:lang w:eastAsia="hr-HR"/>
        </w:rPr>
        <w:t>gospodarskog razvoja</w:t>
      </w:r>
      <w:r w:rsidRPr="0091228A">
        <w:rPr>
          <w:rFonts w:eastAsia="Times New Roman" w:cstheme="minorHAnsi"/>
          <w:bCs/>
          <w:lang w:eastAsia="hr-HR"/>
        </w:rPr>
        <w:t xml:space="preserve"> Županije razvojni potencijal </w:t>
      </w:r>
      <w:r w:rsidR="00E50ED4" w:rsidRPr="0091228A">
        <w:rPr>
          <w:rFonts w:eastAsia="Times New Roman" w:cstheme="minorHAnsi"/>
          <w:bCs/>
          <w:lang w:eastAsia="hr-HR"/>
        </w:rPr>
        <w:t>vidljiv</w:t>
      </w:r>
      <w:r w:rsidR="00F24307">
        <w:rPr>
          <w:rFonts w:eastAsia="Times New Roman" w:cstheme="minorHAnsi"/>
          <w:bCs/>
          <w:lang w:eastAsia="hr-HR"/>
        </w:rPr>
        <w:t xml:space="preserve"> je</w:t>
      </w:r>
      <w:r w:rsidR="00E50ED4" w:rsidRPr="0091228A">
        <w:rPr>
          <w:rFonts w:eastAsia="Times New Roman" w:cstheme="minorHAnsi"/>
          <w:bCs/>
          <w:lang w:eastAsia="hr-HR"/>
        </w:rPr>
        <w:t xml:space="preserve"> kroz kontinuirano </w:t>
      </w:r>
      <w:r w:rsidRPr="0091228A">
        <w:rPr>
          <w:rFonts w:eastAsia="Times New Roman" w:cstheme="minorHAnsi"/>
          <w:bCs/>
          <w:lang w:eastAsia="hr-HR"/>
        </w:rPr>
        <w:t xml:space="preserve"> v</w:t>
      </w:r>
      <w:r w:rsidR="008100B5" w:rsidRPr="0091228A">
        <w:rPr>
          <w:rFonts w:eastAsia="Times New Roman" w:cstheme="minorHAnsi"/>
          <w:bCs/>
          <w:lang w:eastAsia="hr-HR"/>
        </w:rPr>
        <w:t>išegodišnje poboljšanje poslovanja poduzetnika, povećanje profitabilnosti</w:t>
      </w:r>
      <w:r w:rsidR="00E50ED4" w:rsidRPr="0091228A">
        <w:rPr>
          <w:rFonts w:eastAsia="Times New Roman" w:cstheme="minorHAnsi"/>
          <w:bCs/>
          <w:lang w:eastAsia="hr-HR"/>
        </w:rPr>
        <w:t xml:space="preserve"> i</w:t>
      </w:r>
      <w:r w:rsidR="008100B5" w:rsidRPr="0091228A">
        <w:rPr>
          <w:rFonts w:eastAsia="Times New Roman" w:cstheme="minorHAnsi"/>
          <w:bCs/>
          <w:lang w:eastAsia="hr-HR"/>
        </w:rPr>
        <w:t xml:space="preserve"> zaposlenosti</w:t>
      </w:r>
      <w:r w:rsidR="00E50ED4" w:rsidRPr="0091228A">
        <w:rPr>
          <w:rFonts w:eastAsia="Times New Roman" w:cstheme="minorHAnsi"/>
          <w:bCs/>
          <w:lang w:eastAsia="hr-HR"/>
        </w:rPr>
        <w:t xml:space="preserve">, te rast plaća. Vidljiv je rast </w:t>
      </w:r>
      <w:r w:rsidR="008100B5" w:rsidRPr="0091228A">
        <w:rPr>
          <w:rFonts w:eastAsia="Times New Roman" w:cstheme="minorHAnsi"/>
          <w:bCs/>
          <w:lang w:eastAsia="hr-HR"/>
        </w:rPr>
        <w:t>uspješnost</w:t>
      </w:r>
      <w:r w:rsidR="00E50ED4" w:rsidRPr="0091228A">
        <w:rPr>
          <w:rFonts w:eastAsia="Times New Roman" w:cstheme="minorHAnsi"/>
          <w:bCs/>
          <w:lang w:eastAsia="hr-HR"/>
        </w:rPr>
        <w:t>i</w:t>
      </w:r>
      <w:r w:rsidR="008100B5" w:rsidRPr="0091228A">
        <w:rPr>
          <w:rFonts w:eastAsia="Times New Roman" w:cstheme="minorHAnsi"/>
          <w:bCs/>
          <w:lang w:eastAsia="hr-HR"/>
        </w:rPr>
        <w:t xml:space="preserve"> poslovanja mikro, malih i srednjih poduzeća, vrlo dobr</w:t>
      </w:r>
      <w:r w:rsidR="00E50ED4" w:rsidRPr="0091228A">
        <w:rPr>
          <w:rFonts w:eastAsia="Times New Roman" w:cstheme="minorHAnsi"/>
          <w:bCs/>
          <w:lang w:eastAsia="hr-HR"/>
        </w:rPr>
        <w:t xml:space="preserve">i su poslovni </w:t>
      </w:r>
      <w:r w:rsidR="008100B5" w:rsidRPr="0091228A">
        <w:rPr>
          <w:rFonts w:eastAsia="Times New Roman" w:cstheme="minorHAnsi"/>
          <w:bCs/>
          <w:lang w:eastAsia="hr-HR"/>
        </w:rPr>
        <w:t>rezultat</w:t>
      </w:r>
      <w:r w:rsidR="00E50ED4" w:rsidRPr="0091228A">
        <w:rPr>
          <w:rFonts w:eastAsia="Times New Roman" w:cstheme="minorHAnsi"/>
          <w:bCs/>
          <w:lang w:eastAsia="hr-HR"/>
        </w:rPr>
        <w:t>i</w:t>
      </w:r>
      <w:r w:rsidR="008100B5" w:rsidRPr="0091228A">
        <w:rPr>
          <w:rFonts w:eastAsia="Times New Roman" w:cstheme="minorHAnsi"/>
          <w:bCs/>
          <w:lang w:eastAsia="hr-HR"/>
        </w:rPr>
        <w:t xml:space="preserve"> prerađivačke industrije</w:t>
      </w:r>
      <w:r w:rsidRPr="0091228A">
        <w:rPr>
          <w:rFonts w:eastAsia="Times New Roman" w:cstheme="minorHAnsi"/>
          <w:bCs/>
          <w:lang w:eastAsia="hr-HR"/>
        </w:rPr>
        <w:t xml:space="preserve"> te </w:t>
      </w:r>
      <w:r w:rsidR="00E50ED4" w:rsidRPr="0091228A">
        <w:rPr>
          <w:rFonts w:eastAsia="Times New Roman" w:cstheme="minorHAnsi"/>
          <w:bCs/>
          <w:lang w:eastAsia="hr-HR"/>
        </w:rPr>
        <w:t xml:space="preserve">je </w:t>
      </w:r>
      <w:r w:rsidR="007270EB">
        <w:rPr>
          <w:rFonts w:eastAsia="Times New Roman" w:cstheme="minorHAnsi"/>
          <w:bCs/>
          <w:lang w:eastAsia="hr-HR"/>
        </w:rPr>
        <w:t>očit</w:t>
      </w:r>
      <w:r w:rsidR="00E50ED4" w:rsidRPr="0091228A">
        <w:rPr>
          <w:rFonts w:eastAsia="Times New Roman" w:cstheme="minorHAnsi"/>
          <w:bCs/>
          <w:lang w:eastAsia="hr-HR"/>
        </w:rPr>
        <w:t xml:space="preserve"> porast i</w:t>
      </w:r>
      <w:r w:rsidR="008100B5" w:rsidRPr="0091228A">
        <w:rPr>
          <w:rFonts w:eastAsia="Times New Roman" w:cstheme="minorHAnsi"/>
          <w:bCs/>
          <w:lang w:eastAsia="hr-HR"/>
        </w:rPr>
        <w:t>zvoza</w:t>
      </w:r>
      <w:r w:rsidRPr="0091228A">
        <w:rPr>
          <w:rFonts w:eastAsia="Times New Roman" w:cstheme="minorHAnsi"/>
          <w:bCs/>
          <w:lang w:eastAsia="hr-HR"/>
        </w:rPr>
        <w:t xml:space="preserve">. Potencijal </w:t>
      </w:r>
      <w:r w:rsidR="00B859F6">
        <w:rPr>
          <w:rFonts w:eastAsia="Times New Roman" w:cstheme="minorHAnsi"/>
          <w:bCs/>
          <w:lang w:eastAsia="hr-HR"/>
        </w:rPr>
        <w:t xml:space="preserve">se očituje </w:t>
      </w:r>
      <w:r w:rsidRPr="0091228A">
        <w:rPr>
          <w:rFonts w:eastAsia="Times New Roman" w:cstheme="minorHAnsi"/>
          <w:bCs/>
          <w:lang w:eastAsia="hr-HR"/>
        </w:rPr>
        <w:t xml:space="preserve">i u </w:t>
      </w:r>
      <w:r w:rsidR="008100B5" w:rsidRPr="0091228A">
        <w:rPr>
          <w:rFonts w:eastAsia="Times New Roman" w:cstheme="minorHAnsi"/>
          <w:bCs/>
          <w:lang w:eastAsia="hr-HR"/>
        </w:rPr>
        <w:t>mogućnosti</w:t>
      </w:r>
      <w:r w:rsidRPr="0091228A">
        <w:rPr>
          <w:rFonts w:eastAsia="Times New Roman" w:cstheme="minorHAnsi"/>
          <w:bCs/>
          <w:lang w:eastAsia="hr-HR"/>
        </w:rPr>
        <w:t>ma</w:t>
      </w:r>
      <w:r w:rsidR="008100B5" w:rsidRPr="0091228A">
        <w:rPr>
          <w:rFonts w:eastAsia="Times New Roman" w:cstheme="minorHAnsi"/>
          <w:bCs/>
          <w:lang w:eastAsia="hr-HR"/>
        </w:rPr>
        <w:t xml:space="preserve"> za uspješno ulaganje i poslovanje </w:t>
      </w:r>
      <w:r w:rsidR="00F63F32" w:rsidRPr="0091228A">
        <w:rPr>
          <w:rFonts w:eastAsia="Times New Roman" w:cstheme="minorHAnsi"/>
          <w:bCs/>
          <w:lang w:eastAsia="hr-HR"/>
        </w:rPr>
        <w:t xml:space="preserve">u Županiji, </w:t>
      </w:r>
      <w:r w:rsidR="008100B5" w:rsidRPr="0091228A">
        <w:rPr>
          <w:rFonts w:eastAsia="Times New Roman" w:cstheme="minorHAnsi"/>
          <w:bCs/>
          <w:lang w:eastAsia="hr-HR"/>
        </w:rPr>
        <w:t xml:space="preserve">o čemu svjedoče dobri primjeri inozemnih investicija. </w:t>
      </w:r>
      <w:r w:rsidR="00F63F32" w:rsidRPr="0091228A">
        <w:rPr>
          <w:rFonts w:eastAsia="Times New Roman" w:cstheme="minorHAnsi"/>
          <w:bCs/>
          <w:lang w:eastAsia="hr-HR"/>
        </w:rPr>
        <w:t>Prepoznat i značajan r</w:t>
      </w:r>
      <w:r w:rsidR="008100B5" w:rsidRPr="0091228A">
        <w:rPr>
          <w:rFonts w:eastAsia="Times New Roman" w:cstheme="minorHAnsi"/>
          <w:bCs/>
          <w:lang w:eastAsia="hr-HR"/>
        </w:rPr>
        <w:t xml:space="preserve">azvojni potencijal </w:t>
      </w:r>
      <w:r w:rsidR="007270EB">
        <w:rPr>
          <w:rFonts w:eastAsia="Times New Roman" w:cstheme="minorHAnsi"/>
          <w:bCs/>
          <w:lang w:eastAsia="hr-HR"/>
        </w:rPr>
        <w:t>predstavljaju</w:t>
      </w:r>
      <w:r w:rsidR="00F63F32" w:rsidRPr="0091228A">
        <w:rPr>
          <w:rFonts w:eastAsia="Times New Roman" w:cstheme="minorHAnsi"/>
          <w:bCs/>
          <w:lang w:eastAsia="hr-HR"/>
        </w:rPr>
        <w:t xml:space="preserve"> dugogodišnja </w:t>
      </w:r>
      <w:r w:rsidR="008100B5" w:rsidRPr="0091228A">
        <w:rPr>
          <w:rFonts w:eastAsia="Times New Roman" w:cstheme="minorHAnsi"/>
          <w:bCs/>
          <w:lang w:eastAsia="hr-HR"/>
        </w:rPr>
        <w:t xml:space="preserve"> tradicija i stručna radna snaga u određenim djelatnostima (metaloprerađivačka industrija) kao i povoljan prometni položaj (željeznica, autocesta).</w:t>
      </w:r>
      <w:r w:rsidR="00D728B3" w:rsidRPr="0091228A">
        <w:rPr>
          <w:rFonts w:eastAsia="Times New Roman" w:cstheme="minorHAnsi"/>
          <w:bCs/>
          <w:lang w:eastAsia="hr-HR"/>
        </w:rPr>
        <w:t xml:space="preserve"> </w:t>
      </w:r>
    </w:p>
    <w:p w14:paraId="18983F8B" w14:textId="5E7F5524" w:rsidR="00D728B3" w:rsidRPr="0091228A" w:rsidRDefault="00D728B3" w:rsidP="00B55734">
      <w:pPr>
        <w:jc w:val="both"/>
        <w:rPr>
          <w:rFonts w:eastAsia="Times New Roman" w:cstheme="minorHAnsi"/>
          <w:bCs/>
          <w:lang w:eastAsia="hr-HR"/>
        </w:rPr>
      </w:pPr>
      <w:r w:rsidRPr="0091228A">
        <w:rPr>
          <w:rFonts w:eastAsia="Times New Roman" w:cstheme="minorHAnsi"/>
          <w:bCs/>
          <w:lang w:eastAsia="hr-HR"/>
        </w:rPr>
        <w:t>R</w:t>
      </w:r>
      <w:r w:rsidR="008100B5" w:rsidRPr="0091228A">
        <w:rPr>
          <w:rFonts w:eastAsia="Times New Roman" w:cstheme="minorHAnsi"/>
          <w:bCs/>
          <w:lang w:eastAsia="hr-HR"/>
        </w:rPr>
        <w:t>azvojni potencijal</w:t>
      </w:r>
      <w:r w:rsidR="00BC2858" w:rsidRPr="0091228A">
        <w:rPr>
          <w:rFonts w:eastAsia="Times New Roman" w:cstheme="minorHAnsi"/>
          <w:bCs/>
          <w:lang w:eastAsia="hr-HR"/>
        </w:rPr>
        <w:t xml:space="preserve"> vidljiv </w:t>
      </w:r>
      <w:r w:rsidR="00B859F6">
        <w:rPr>
          <w:rFonts w:eastAsia="Times New Roman" w:cstheme="minorHAnsi"/>
          <w:bCs/>
          <w:lang w:eastAsia="hr-HR"/>
        </w:rPr>
        <w:t xml:space="preserve">je </w:t>
      </w:r>
      <w:r w:rsidRPr="0091228A">
        <w:rPr>
          <w:rFonts w:eastAsia="Times New Roman" w:cstheme="minorHAnsi"/>
          <w:bCs/>
          <w:lang w:eastAsia="hr-HR"/>
        </w:rPr>
        <w:t xml:space="preserve">i </w:t>
      </w:r>
      <w:r w:rsidR="00BC2858" w:rsidRPr="0091228A">
        <w:rPr>
          <w:rFonts w:eastAsia="Times New Roman" w:cstheme="minorHAnsi"/>
          <w:bCs/>
          <w:lang w:eastAsia="hr-HR"/>
        </w:rPr>
        <w:t xml:space="preserve">u </w:t>
      </w:r>
      <w:r w:rsidR="008100B5" w:rsidRPr="0091228A">
        <w:rPr>
          <w:rFonts w:eastAsia="Times New Roman" w:cstheme="minorHAnsi"/>
          <w:bCs/>
          <w:lang w:eastAsia="hr-HR"/>
        </w:rPr>
        <w:t>jačanj</w:t>
      </w:r>
      <w:r w:rsidR="00BC2858" w:rsidRPr="0091228A">
        <w:rPr>
          <w:rFonts w:eastAsia="Times New Roman" w:cstheme="minorHAnsi"/>
          <w:bCs/>
          <w:lang w:eastAsia="hr-HR"/>
        </w:rPr>
        <w:t>u</w:t>
      </w:r>
      <w:r w:rsidR="008100B5" w:rsidRPr="0091228A">
        <w:rPr>
          <w:rFonts w:eastAsia="Times New Roman" w:cstheme="minorHAnsi"/>
          <w:bCs/>
          <w:lang w:eastAsia="hr-HR"/>
        </w:rPr>
        <w:t xml:space="preserve"> suradnje visokoobrazovnih institucija s poduzećima i obrtima, iskustv</w:t>
      </w:r>
      <w:r w:rsidR="00BC2858" w:rsidRPr="0091228A">
        <w:rPr>
          <w:rFonts w:eastAsia="Times New Roman" w:cstheme="minorHAnsi"/>
          <w:bCs/>
          <w:lang w:eastAsia="hr-HR"/>
        </w:rPr>
        <w:t>u</w:t>
      </w:r>
      <w:r w:rsidR="008100B5" w:rsidRPr="0091228A">
        <w:rPr>
          <w:rFonts w:eastAsia="Times New Roman" w:cstheme="minorHAnsi"/>
          <w:bCs/>
          <w:lang w:eastAsia="hr-HR"/>
        </w:rPr>
        <w:t xml:space="preserve"> i kapaciteti</w:t>
      </w:r>
      <w:r w:rsidR="00BC2858" w:rsidRPr="0091228A">
        <w:rPr>
          <w:rFonts w:eastAsia="Times New Roman" w:cstheme="minorHAnsi"/>
          <w:bCs/>
          <w:lang w:eastAsia="hr-HR"/>
        </w:rPr>
        <w:t>ma</w:t>
      </w:r>
      <w:r w:rsidR="008100B5" w:rsidRPr="0091228A">
        <w:rPr>
          <w:rFonts w:eastAsia="Times New Roman" w:cstheme="minorHAnsi"/>
          <w:bCs/>
          <w:lang w:eastAsia="hr-HR"/>
        </w:rPr>
        <w:t xml:space="preserve"> potpornih institucija, značaj</w:t>
      </w:r>
      <w:r w:rsidR="00BC2858" w:rsidRPr="0091228A">
        <w:rPr>
          <w:rFonts w:eastAsia="Times New Roman" w:cstheme="minorHAnsi"/>
          <w:bCs/>
          <w:lang w:eastAsia="hr-HR"/>
        </w:rPr>
        <w:t xml:space="preserve">nom </w:t>
      </w:r>
      <w:r w:rsidR="008100B5" w:rsidRPr="0091228A">
        <w:rPr>
          <w:rFonts w:eastAsia="Times New Roman" w:cstheme="minorHAnsi"/>
          <w:bCs/>
          <w:lang w:eastAsia="hr-HR"/>
        </w:rPr>
        <w:t>broj</w:t>
      </w:r>
      <w:r w:rsidR="00BC2858" w:rsidRPr="0091228A">
        <w:rPr>
          <w:rFonts w:eastAsia="Times New Roman" w:cstheme="minorHAnsi"/>
          <w:bCs/>
          <w:lang w:eastAsia="hr-HR"/>
        </w:rPr>
        <w:t>u</w:t>
      </w:r>
      <w:r w:rsidR="008100B5" w:rsidRPr="0091228A">
        <w:rPr>
          <w:rFonts w:eastAsia="Times New Roman" w:cstheme="minorHAnsi"/>
          <w:bCs/>
          <w:lang w:eastAsia="hr-HR"/>
        </w:rPr>
        <w:t xml:space="preserve"> poduzetničkih zona i primjeri</w:t>
      </w:r>
      <w:r w:rsidR="00BC2858" w:rsidRPr="0091228A">
        <w:rPr>
          <w:rFonts w:eastAsia="Times New Roman" w:cstheme="minorHAnsi"/>
          <w:bCs/>
          <w:lang w:eastAsia="hr-HR"/>
        </w:rPr>
        <w:t xml:space="preserve">ma </w:t>
      </w:r>
      <w:r w:rsidR="008100B5" w:rsidRPr="0091228A">
        <w:rPr>
          <w:rFonts w:eastAsia="Times New Roman" w:cstheme="minorHAnsi"/>
          <w:bCs/>
          <w:lang w:eastAsia="hr-HR"/>
        </w:rPr>
        <w:t xml:space="preserve">uspješnih ulaganja. </w:t>
      </w:r>
    </w:p>
    <w:p w14:paraId="5AB080B5" w14:textId="2A6420D9" w:rsidR="00EF7154" w:rsidRPr="0091228A" w:rsidRDefault="008100B5" w:rsidP="00B55734">
      <w:pPr>
        <w:jc w:val="both"/>
        <w:rPr>
          <w:rFonts w:eastAsia="Times New Roman" w:cstheme="minorHAnsi"/>
          <w:bCs/>
          <w:lang w:eastAsia="hr-HR"/>
        </w:rPr>
      </w:pPr>
      <w:r w:rsidRPr="0091228A">
        <w:rPr>
          <w:rFonts w:eastAsia="Times New Roman" w:cstheme="minorHAnsi"/>
          <w:bCs/>
          <w:lang w:eastAsia="hr-HR"/>
        </w:rPr>
        <w:t xml:space="preserve">U </w:t>
      </w:r>
      <w:r w:rsidRPr="00502EED">
        <w:rPr>
          <w:rFonts w:eastAsia="Times New Roman" w:cstheme="minorHAnsi"/>
          <w:b/>
          <w:lang w:eastAsia="hr-HR"/>
        </w:rPr>
        <w:t xml:space="preserve">poljoprivredi </w:t>
      </w:r>
      <w:r w:rsidR="00B859F6">
        <w:rPr>
          <w:rFonts w:eastAsia="Times New Roman" w:cstheme="minorHAnsi"/>
          <w:bCs/>
          <w:lang w:eastAsia="hr-HR"/>
        </w:rPr>
        <w:t xml:space="preserve">se </w:t>
      </w:r>
      <w:r w:rsidRPr="0091228A">
        <w:rPr>
          <w:rFonts w:eastAsia="Times New Roman" w:cstheme="minorHAnsi"/>
          <w:bCs/>
          <w:lang w:eastAsia="hr-HR"/>
        </w:rPr>
        <w:t>razvojni potencijal</w:t>
      </w:r>
      <w:r w:rsidR="0092577E" w:rsidRPr="0091228A">
        <w:rPr>
          <w:rFonts w:eastAsia="Times New Roman" w:cstheme="minorHAnsi"/>
          <w:bCs/>
          <w:lang w:eastAsia="hr-HR"/>
        </w:rPr>
        <w:t xml:space="preserve"> </w:t>
      </w:r>
      <w:r w:rsidR="00B859F6">
        <w:rPr>
          <w:rFonts w:eastAsia="Times New Roman" w:cstheme="minorHAnsi"/>
          <w:bCs/>
          <w:lang w:eastAsia="hr-HR"/>
        </w:rPr>
        <w:t xml:space="preserve">očituje </w:t>
      </w:r>
      <w:r w:rsidR="00F63F32" w:rsidRPr="0091228A">
        <w:rPr>
          <w:rFonts w:eastAsia="Times New Roman" w:cstheme="minorHAnsi"/>
          <w:bCs/>
          <w:lang w:eastAsia="hr-HR"/>
        </w:rPr>
        <w:t xml:space="preserve">u </w:t>
      </w:r>
      <w:r w:rsidRPr="0091228A">
        <w:rPr>
          <w:rFonts w:eastAsia="Times New Roman" w:cstheme="minorHAnsi"/>
          <w:bCs/>
          <w:lang w:eastAsia="hr-HR"/>
        </w:rPr>
        <w:t xml:space="preserve"> povoljn</w:t>
      </w:r>
      <w:r w:rsidR="00F63F32" w:rsidRPr="0091228A">
        <w:rPr>
          <w:rFonts w:eastAsia="Times New Roman" w:cstheme="minorHAnsi"/>
          <w:bCs/>
          <w:lang w:eastAsia="hr-HR"/>
        </w:rPr>
        <w:t>oj</w:t>
      </w:r>
      <w:r w:rsidRPr="0091228A">
        <w:rPr>
          <w:rFonts w:eastAsia="Times New Roman" w:cstheme="minorHAnsi"/>
          <w:bCs/>
          <w:lang w:eastAsia="hr-HR"/>
        </w:rPr>
        <w:t xml:space="preserve"> struktur</w:t>
      </w:r>
      <w:r w:rsidR="00F63F32" w:rsidRPr="0091228A">
        <w:rPr>
          <w:rFonts w:eastAsia="Times New Roman" w:cstheme="minorHAnsi"/>
          <w:bCs/>
          <w:lang w:eastAsia="hr-HR"/>
        </w:rPr>
        <w:t>i</w:t>
      </w:r>
      <w:r w:rsidRPr="0091228A">
        <w:rPr>
          <w:rFonts w:eastAsia="Times New Roman" w:cstheme="minorHAnsi"/>
          <w:bCs/>
          <w:lang w:eastAsia="hr-HR"/>
        </w:rPr>
        <w:t xml:space="preserve"> poljoprivrednog zemljišta sa značajnim udjelom gospodarstava s većim poljoprivrednim površinama, porast</w:t>
      </w:r>
      <w:r w:rsidR="00EF7154" w:rsidRPr="0091228A">
        <w:rPr>
          <w:rFonts w:eastAsia="Times New Roman" w:cstheme="minorHAnsi"/>
          <w:bCs/>
          <w:lang w:eastAsia="hr-HR"/>
        </w:rPr>
        <w:t>u</w:t>
      </w:r>
      <w:r w:rsidRPr="0091228A">
        <w:rPr>
          <w:rFonts w:eastAsia="Times New Roman" w:cstheme="minorHAnsi"/>
          <w:bCs/>
          <w:lang w:eastAsia="hr-HR"/>
        </w:rPr>
        <w:t xml:space="preserve"> iskoristivosti poljoprivrednih površina, povećanj</w:t>
      </w:r>
      <w:r w:rsidR="00D728B3" w:rsidRPr="0091228A">
        <w:rPr>
          <w:rFonts w:eastAsia="Times New Roman" w:cstheme="minorHAnsi"/>
          <w:bCs/>
          <w:lang w:eastAsia="hr-HR"/>
        </w:rPr>
        <w:t>u</w:t>
      </w:r>
      <w:r w:rsidRPr="0091228A">
        <w:rPr>
          <w:rFonts w:eastAsia="Times New Roman" w:cstheme="minorHAnsi"/>
          <w:bCs/>
          <w:lang w:eastAsia="hr-HR"/>
        </w:rPr>
        <w:t xml:space="preserve"> interesa za ekološku proizvodnju te </w:t>
      </w:r>
      <w:r w:rsidR="00D728B3" w:rsidRPr="0091228A">
        <w:rPr>
          <w:rFonts w:eastAsia="Times New Roman" w:cstheme="minorHAnsi"/>
          <w:bCs/>
          <w:lang w:eastAsia="hr-HR"/>
        </w:rPr>
        <w:t xml:space="preserve">u </w:t>
      </w:r>
      <w:r w:rsidRPr="0091228A">
        <w:rPr>
          <w:rFonts w:eastAsia="Times New Roman" w:cstheme="minorHAnsi"/>
          <w:bCs/>
          <w:lang w:eastAsia="hr-HR"/>
        </w:rPr>
        <w:t>intenziviranj</w:t>
      </w:r>
      <w:r w:rsidR="00D728B3" w:rsidRPr="0091228A">
        <w:rPr>
          <w:rFonts w:eastAsia="Times New Roman" w:cstheme="minorHAnsi"/>
          <w:bCs/>
          <w:lang w:eastAsia="hr-HR"/>
        </w:rPr>
        <w:t>u</w:t>
      </w:r>
      <w:r w:rsidRPr="0091228A">
        <w:rPr>
          <w:rFonts w:eastAsia="Times New Roman" w:cstheme="minorHAnsi"/>
          <w:bCs/>
          <w:lang w:eastAsia="hr-HR"/>
        </w:rPr>
        <w:t xml:space="preserve"> navodnjavanja.</w:t>
      </w:r>
    </w:p>
    <w:p w14:paraId="5C8F8F7A" w14:textId="1811A7FB" w:rsidR="008100B5" w:rsidRPr="0091228A" w:rsidRDefault="008100B5" w:rsidP="00B55734">
      <w:pPr>
        <w:jc w:val="both"/>
        <w:rPr>
          <w:rFonts w:eastAsia="Times New Roman" w:cstheme="minorHAnsi"/>
          <w:bCs/>
          <w:lang w:eastAsia="hr-HR"/>
        </w:rPr>
      </w:pPr>
      <w:r w:rsidRPr="0091228A">
        <w:rPr>
          <w:rFonts w:eastAsia="Times New Roman" w:cstheme="minorHAnsi"/>
          <w:bCs/>
          <w:lang w:eastAsia="hr-HR"/>
        </w:rPr>
        <w:t>U drugim djelatnostima, u trgovini, smještaju i ugostiteljstvu te informacijskim i komunikacijskim</w:t>
      </w:r>
      <w:r w:rsidR="00F63F32" w:rsidRPr="0091228A">
        <w:rPr>
          <w:rFonts w:eastAsia="Times New Roman" w:cstheme="minorHAnsi"/>
          <w:bCs/>
          <w:lang w:eastAsia="hr-HR"/>
        </w:rPr>
        <w:t xml:space="preserve"> djelatnostima</w:t>
      </w:r>
      <w:r w:rsidRPr="0091228A">
        <w:rPr>
          <w:rFonts w:eastAsia="Times New Roman" w:cstheme="minorHAnsi"/>
          <w:bCs/>
          <w:lang w:eastAsia="hr-HR"/>
        </w:rPr>
        <w:t xml:space="preserve">, </w:t>
      </w:r>
      <w:r w:rsidR="00B859F6" w:rsidRPr="0091228A">
        <w:rPr>
          <w:rFonts w:eastAsia="Times New Roman" w:cstheme="minorHAnsi"/>
          <w:bCs/>
          <w:lang w:eastAsia="hr-HR"/>
        </w:rPr>
        <w:t>dosadašnji trend porast</w:t>
      </w:r>
      <w:r w:rsidR="00B859F6">
        <w:rPr>
          <w:rFonts w:eastAsia="Times New Roman" w:cstheme="minorHAnsi"/>
          <w:bCs/>
          <w:lang w:eastAsia="hr-HR"/>
        </w:rPr>
        <w:t>a</w:t>
      </w:r>
      <w:r w:rsidR="00B859F6" w:rsidRPr="0091228A">
        <w:rPr>
          <w:rFonts w:eastAsia="Times New Roman" w:cstheme="minorHAnsi"/>
          <w:bCs/>
          <w:lang w:eastAsia="hr-HR"/>
        </w:rPr>
        <w:t xml:space="preserve"> prihoda</w:t>
      </w:r>
      <w:r w:rsidRPr="0091228A">
        <w:rPr>
          <w:rFonts w:eastAsia="Times New Roman" w:cstheme="minorHAnsi"/>
          <w:bCs/>
          <w:lang w:eastAsia="hr-HR"/>
        </w:rPr>
        <w:t xml:space="preserve"> </w:t>
      </w:r>
      <w:r w:rsidR="00036672">
        <w:rPr>
          <w:rFonts w:eastAsia="Times New Roman" w:cstheme="minorHAnsi"/>
          <w:bCs/>
          <w:lang w:eastAsia="hr-HR"/>
        </w:rPr>
        <w:t xml:space="preserve">predstavlja </w:t>
      </w:r>
      <w:r w:rsidRPr="0091228A">
        <w:rPr>
          <w:rFonts w:eastAsia="Times New Roman" w:cstheme="minorHAnsi"/>
          <w:bCs/>
          <w:lang w:eastAsia="hr-HR"/>
        </w:rPr>
        <w:t>potencijal za daljnji razvoj.</w:t>
      </w:r>
    </w:p>
    <w:p w14:paraId="127C7F09" w14:textId="29867B61" w:rsidR="00580B39" w:rsidRPr="0091228A" w:rsidRDefault="0080417F" w:rsidP="00580B39">
      <w:pPr>
        <w:jc w:val="both"/>
        <w:rPr>
          <w:rFonts w:eastAsia="Times New Roman" w:cstheme="minorHAnsi"/>
          <w:bCs/>
          <w:color w:val="000000"/>
          <w:lang w:eastAsia="en-GB"/>
        </w:rPr>
      </w:pPr>
      <w:r w:rsidRPr="00502EED">
        <w:rPr>
          <w:rFonts w:cstheme="minorHAnsi"/>
          <w:b/>
          <w:bCs/>
          <w:u w:val="single"/>
        </w:rPr>
        <w:t>U</w:t>
      </w:r>
      <w:r w:rsidR="00580B39" w:rsidRPr="00502EED">
        <w:rPr>
          <w:rFonts w:cstheme="minorHAnsi"/>
          <w:b/>
          <w:bCs/>
          <w:u w:val="single"/>
        </w:rPr>
        <w:t xml:space="preserve"> području društvenih djelatnosti Brodsko-posavske županije</w:t>
      </w:r>
      <w:r w:rsidR="00580B39" w:rsidRPr="00502EED">
        <w:rPr>
          <w:rFonts w:cstheme="minorHAnsi"/>
          <w:b/>
          <w:bCs/>
        </w:rPr>
        <w:t xml:space="preserve"> </w:t>
      </w:r>
      <w:r w:rsidR="00926D86" w:rsidRPr="0091228A">
        <w:rPr>
          <w:rFonts w:cstheme="minorHAnsi"/>
        </w:rPr>
        <w:t xml:space="preserve">Županija ima potencijala za demografski rast i razvoj u budućnosti. Raspolaže </w:t>
      </w:r>
      <w:r w:rsidR="00580B39" w:rsidRPr="0091228A">
        <w:rPr>
          <w:rFonts w:cstheme="minorHAnsi"/>
          <w:bCs/>
        </w:rPr>
        <w:t>iskustv</w:t>
      </w:r>
      <w:r w:rsidR="00926D86" w:rsidRPr="0091228A">
        <w:rPr>
          <w:rFonts w:cstheme="minorHAnsi"/>
          <w:bCs/>
        </w:rPr>
        <w:t>om</w:t>
      </w:r>
      <w:r w:rsidR="00580B39" w:rsidRPr="0091228A">
        <w:rPr>
          <w:rFonts w:cstheme="minorHAnsi"/>
          <w:bCs/>
        </w:rPr>
        <w:t xml:space="preserve"> i sposobnostima  učinkovitog korištenja EU fondova i drugih izvora za nov</w:t>
      </w:r>
      <w:r w:rsidR="00EF7154" w:rsidRPr="0091228A">
        <w:rPr>
          <w:rFonts w:cstheme="minorHAnsi"/>
          <w:bCs/>
        </w:rPr>
        <w:t>a</w:t>
      </w:r>
      <w:r w:rsidR="00580B39" w:rsidRPr="0091228A">
        <w:rPr>
          <w:rFonts w:cstheme="minorHAnsi"/>
          <w:bCs/>
        </w:rPr>
        <w:t xml:space="preserve"> zapošljavanje, posebno za mlade i obrazovane ljude</w:t>
      </w:r>
      <w:r w:rsidR="00EF7154" w:rsidRPr="0091228A">
        <w:rPr>
          <w:rFonts w:cstheme="minorHAnsi"/>
          <w:bCs/>
        </w:rPr>
        <w:t xml:space="preserve">. </w:t>
      </w:r>
      <w:r w:rsidR="00580B39" w:rsidRPr="0091228A">
        <w:rPr>
          <w:rFonts w:cstheme="minorHAnsi"/>
          <w:bCs/>
        </w:rPr>
        <w:t>Također, potencijal</w:t>
      </w:r>
      <w:r w:rsidR="00EF7154" w:rsidRPr="0091228A">
        <w:rPr>
          <w:rFonts w:cstheme="minorHAnsi"/>
          <w:bCs/>
        </w:rPr>
        <w:t xml:space="preserve"> je i dosadašnj</w:t>
      </w:r>
      <w:r w:rsidR="00036672">
        <w:rPr>
          <w:rFonts w:cstheme="minorHAnsi"/>
          <w:bCs/>
        </w:rPr>
        <w:t>a</w:t>
      </w:r>
      <w:r w:rsidR="00EF7154" w:rsidRPr="0091228A">
        <w:rPr>
          <w:rFonts w:cstheme="minorHAnsi"/>
          <w:bCs/>
        </w:rPr>
        <w:t xml:space="preserve"> </w:t>
      </w:r>
      <w:r w:rsidR="00580B39" w:rsidRPr="0091228A">
        <w:rPr>
          <w:rFonts w:cstheme="minorHAnsi"/>
          <w:bCs/>
        </w:rPr>
        <w:t>prov</w:t>
      </w:r>
      <w:r w:rsidR="00036672">
        <w:rPr>
          <w:rFonts w:cstheme="minorHAnsi"/>
          <w:bCs/>
        </w:rPr>
        <w:t>edba</w:t>
      </w:r>
      <w:r w:rsidR="00580B39" w:rsidRPr="0091228A">
        <w:rPr>
          <w:rFonts w:cstheme="minorHAnsi"/>
          <w:bCs/>
        </w:rPr>
        <w:t xml:space="preserve"> uspješne pronatalitetne politike u nekim JLS-ima, koj</w:t>
      </w:r>
      <w:r w:rsidR="00036672">
        <w:rPr>
          <w:rFonts w:cstheme="minorHAnsi"/>
          <w:bCs/>
        </w:rPr>
        <w:t>a</w:t>
      </w:r>
      <w:r w:rsidR="00580B39" w:rsidRPr="0091228A">
        <w:rPr>
          <w:rFonts w:cstheme="minorHAnsi"/>
          <w:bCs/>
        </w:rPr>
        <w:t xml:space="preserve"> se mo</w:t>
      </w:r>
      <w:r>
        <w:rPr>
          <w:rFonts w:cstheme="minorHAnsi"/>
          <w:bCs/>
        </w:rPr>
        <w:t>že</w:t>
      </w:r>
      <w:r w:rsidR="00580B39" w:rsidRPr="0091228A">
        <w:rPr>
          <w:rFonts w:cstheme="minorHAnsi"/>
          <w:bCs/>
        </w:rPr>
        <w:t xml:space="preserve"> primjenjivati </w:t>
      </w:r>
      <w:r>
        <w:rPr>
          <w:rFonts w:cstheme="minorHAnsi"/>
          <w:bCs/>
        </w:rPr>
        <w:t xml:space="preserve"> u</w:t>
      </w:r>
      <w:r w:rsidR="00D85CCB">
        <w:rPr>
          <w:rFonts w:cstheme="minorHAnsi"/>
          <w:bCs/>
        </w:rPr>
        <w:t xml:space="preserve"> </w:t>
      </w:r>
      <w:r w:rsidR="00580B39" w:rsidRPr="0091228A">
        <w:rPr>
          <w:rFonts w:cstheme="minorHAnsi"/>
          <w:bCs/>
        </w:rPr>
        <w:t>području čitav</w:t>
      </w:r>
      <w:r>
        <w:rPr>
          <w:rFonts w:cstheme="minorHAnsi"/>
          <w:bCs/>
        </w:rPr>
        <w:t>e</w:t>
      </w:r>
      <w:r w:rsidR="00580B39" w:rsidRPr="0091228A">
        <w:rPr>
          <w:rFonts w:cstheme="minorHAnsi"/>
          <w:bCs/>
        </w:rPr>
        <w:t xml:space="preserve"> Županije</w:t>
      </w:r>
      <w:r w:rsidR="00580B39" w:rsidRPr="0091228A">
        <w:rPr>
          <w:rFonts w:eastAsia="Times New Roman" w:cstheme="minorHAnsi"/>
          <w:bCs/>
          <w:color w:val="000000"/>
          <w:lang w:eastAsia="en-GB"/>
        </w:rPr>
        <w:t>.</w:t>
      </w:r>
    </w:p>
    <w:p w14:paraId="4066800B" w14:textId="2737FA54" w:rsidR="00580B39" w:rsidRPr="0091228A" w:rsidRDefault="00580B39" w:rsidP="006751C9">
      <w:pPr>
        <w:jc w:val="both"/>
        <w:rPr>
          <w:b/>
        </w:rPr>
      </w:pPr>
      <w:r w:rsidRPr="0091228A">
        <w:lastRenderedPageBreak/>
        <w:t xml:space="preserve">U području </w:t>
      </w:r>
      <w:r w:rsidRPr="0091228A">
        <w:rPr>
          <w:iCs/>
        </w:rPr>
        <w:t xml:space="preserve"> socijalne uključenosti i usluga socijalne skrbi županijski razvojni potencijal </w:t>
      </w:r>
      <w:r w:rsidR="0080417F">
        <w:rPr>
          <w:iCs/>
        </w:rPr>
        <w:t>ogleda se</w:t>
      </w:r>
      <w:r w:rsidR="00EF7154" w:rsidRPr="0091228A">
        <w:rPr>
          <w:iCs/>
        </w:rPr>
        <w:t xml:space="preserve"> u dosadašnjim iskoracima u porastu </w:t>
      </w:r>
      <w:r w:rsidRPr="0091228A">
        <w:rPr>
          <w:rFonts w:eastAsia="Times New Roman"/>
          <w:lang w:eastAsia="hr-HR"/>
        </w:rPr>
        <w:t>razin</w:t>
      </w:r>
      <w:r w:rsidR="00EF7154" w:rsidRPr="0091228A">
        <w:rPr>
          <w:rFonts w:eastAsia="Times New Roman"/>
          <w:lang w:eastAsia="hr-HR"/>
        </w:rPr>
        <w:t>e</w:t>
      </w:r>
      <w:r w:rsidRPr="0091228A">
        <w:rPr>
          <w:rFonts w:eastAsia="Times New Roman"/>
          <w:lang w:eastAsia="hr-HR"/>
        </w:rPr>
        <w:t xml:space="preserve"> kvalitete življenja za starije, nemoćne i osobe s posebnim  potrebama</w:t>
      </w:r>
      <w:r w:rsidR="00EF7154" w:rsidRPr="0091228A">
        <w:rPr>
          <w:rFonts w:eastAsia="Times New Roman"/>
          <w:lang w:eastAsia="hr-HR"/>
        </w:rPr>
        <w:t xml:space="preserve"> te u </w:t>
      </w:r>
      <w:r w:rsidRPr="0091228A">
        <w:rPr>
          <w:rFonts w:eastAsia="Times New Roman"/>
          <w:lang w:eastAsia="hr-HR"/>
        </w:rPr>
        <w:t>pokretanj</w:t>
      </w:r>
      <w:r w:rsidR="00EF7154" w:rsidRPr="0091228A">
        <w:rPr>
          <w:rFonts w:eastAsia="Times New Roman"/>
          <w:lang w:eastAsia="hr-HR"/>
        </w:rPr>
        <w:t>u</w:t>
      </w:r>
      <w:r w:rsidRPr="0091228A">
        <w:rPr>
          <w:rFonts w:eastAsia="Times New Roman"/>
          <w:lang w:eastAsia="hr-HR"/>
        </w:rPr>
        <w:t xml:space="preserve"> i razvoj</w:t>
      </w:r>
      <w:r w:rsidR="00EF7154" w:rsidRPr="0091228A">
        <w:rPr>
          <w:rFonts w:eastAsia="Times New Roman"/>
          <w:lang w:eastAsia="hr-HR"/>
        </w:rPr>
        <w:t>u</w:t>
      </w:r>
      <w:r w:rsidRPr="0091228A">
        <w:rPr>
          <w:rFonts w:eastAsia="Times New Roman"/>
          <w:lang w:eastAsia="hr-HR"/>
        </w:rPr>
        <w:t xml:space="preserve"> socijalnih inovacija</w:t>
      </w:r>
      <w:r w:rsidR="00EF7154" w:rsidRPr="0091228A">
        <w:rPr>
          <w:rFonts w:eastAsia="Times New Roman"/>
          <w:lang w:eastAsia="hr-HR"/>
        </w:rPr>
        <w:t xml:space="preserve">. </w:t>
      </w:r>
    </w:p>
    <w:p w14:paraId="50E9E192" w14:textId="394C143C" w:rsidR="00580B39" w:rsidRPr="0091228A" w:rsidRDefault="00580B39" w:rsidP="00580B39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Potencijal za daljnji razvoj zdravstva u Županiji </w:t>
      </w:r>
      <w:r w:rsidR="0080417F">
        <w:rPr>
          <w:rFonts w:cstheme="minorHAnsi"/>
        </w:rPr>
        <w:t xml:space="preserve">očituje se u </w:t>
      </w:r>
      <w:r w:rsidRPr="0091228A">
        <w:rPr>
          <w:rFonts w:cstheme="minorHAnsi"/>
        </w:rPr>
        <w:t>dosadašnje</w:t>
      </w:r>
      <w:r w:rsidR="0080417F">
        <w:rPr>
          <w:rFonts w:cstheme="minorHAnsi"/>
        </w:rPr>
        <w:t>m</w:t>
      </w:r>
      <w:r w:rsidRPr="0091228A">
        <w:rPr>
          <w:rFonts w:cstheme="minorHAnsi"/>
        </w:rPr>
        <w:t xml:space="preserve"> održavanj</w:t>
      </w:r>
      <w:r w:rsidR="0080417F">
        <w:rPr>
          <w:rFonts w:cstheme="minorHAnsi"/>
        </w:rPr>
        <w:t>u</w:t>
      </w:r>
      <w:r w:rsidRPr="0091228A">
        <w:rPr>
          <w:rFonts w:cstheme="minorHAnsi"/>
        </w:rPr>
        <w:t xml:space="preserve"> ekipiranosti  zdravstvenih ustanova liječničkim i drugim zdravstvenim kadrom</w:t>
      </w:r>
      <w:r w:rsidRPr="0091228A">
        <w:rPr>
          <w:rFonts w:eastAsia="Times New Roman" w:cstheme="minorHAnsi"/>
          <w:lang w:eastAsia="hr-HR"/>
        </w:rPr>
        <w:t>, značajno</w:t>
      </w:r>
      <w:r w:rsidR="00AD0F9C">
        <w:rPr>
          <w:rFonts w:eastAsia="Times New Roman" w:cstheme="minorHAnsi"/>
          <w:lang w:eastAsia="hr-HR"/>
        </w:rPr>
        <w:t>m</w:t>
      </w:r>
      <w:r w:rsidRPr="0091228A">
        <w:rPr>
          <w:rFonts w:eastAsia="Times New Roman" w:cstheme="minorHAnsi"/>
          <w:lang w:eastAsia="hr-HR"/>
        </w:rPr>
        <w:t xml:space="preserve"> smanjenj</w:t>
      </w:r>
      <w:r w:rsidR="00AD0F9C">
        <w:rPr>
          <w:rFonts w:eastAsia="Times New Roman" w:cstheme="minorHAnsi"/>
          <w:lang w:eastAsia="hr-HR"/>
        </w:rPr>
        <w:t>u</w:t>
      </w:r>
      <w:r w:rsidRPr="0091228A">
        <w:rPr>
          <w:rFonts w:eastAsia="Times New Roman" w:cstheme="minorHAnsi"/>
          <w:lang w:eastAsia="hr-HR"/>
        </w:rPr>
        <w:t xml:space="preserve"> lista čekanja i u cjelini zadovoljavajuće</w:t>
      </w:r>
      <w:r w:rsidR="00AD0F9C">
        <w:rPr>
          <w:rFonts w:eastAsia="Times New Roman" w:cstheme="minorHAnsi"/>
          <w:lang w:eastAsia="hr-HR"/>
        </w:rPr>
        <w:t>m</w:t>
      </w:r>
      <w:r w:rsidRPr="0091228A">
        <w:rPr>
          <w:rFonts w:eastAsia="Times New Roman" w:cstheme="minorHAnsi"/>
          <w:lang w:eastAsia="hr-HR"/>
        </w:rPr>
        <w:t xml:space="preserve">  </w:t>
      </w:r>
      <w:r w:rsidR="00EF7154" w:rsidRPr="0091228A">
        <w:rPr>
          <w:rFonts w:eastAsia="Times New Roman" w:cstheme="minorHAnsi"/>
          <w:lang w:eastAsia="hr-HR"/>
        </w:rPr>
        <w:t>stanj</w:t>
      </w:r>
      <w:r w:rsidR="00AD0F9C">
        <w:rPr>
          <w:rFonts w:eastAsia="Times New Roman" w:cstheme="minorHAnsi"/>
          <w:lang w:eastAsia="hr-HR"/>
        </w:rPr>
        <w:t>u</w:t>
      </w:r>
      <w:r w:rsidRPr="0091228A">
        <w:rPr>
          <w:rFonts w:eastAsia="Times New Roman" w:cstheme="minorHAnsi"/>
          <w:lang w:eastAsia="hr-HR"/>
        </w:rPr>
        <w:t xml:space="preserve"> zdravstvene infrastrukture.</w:t>
      </w:r>
      <w:r w:rsidRPr="0091228A">
        <w:rPr>
          <w:rFonts w:cstheme="minorHAnsi"/>
        </w:rPr>
        <w:t xml:space="preserve">  Uz to  razvija se i integrirani pristup razvoju zdravstva, sporta i obrazovanja kako bi se potaklo usvajanje zdravih navika kod mladih. Županija ima i dobre  mogućnosti za razvoj zdravstvenog turizma.</w:t>
      </w:r>
    </w:p>
    <w:p w14:paraId="334BA033" w14:textId="467FB7DE" w:rsidR="00580B39" w:rsidRPr="0091228A" w:rsidRDefault="00580B39" w:rsidP="00580B39">
      <w:pPr>
        <w:jc w:val="both"/>
        <w:rPr>
          <w:rFonts w:cstheme="minorHAnsi"/>
        </w:rPr>
      </w:pPr>
      <w:r w:rsidRPr="00502EED">
        <w:rPr>
          <w:rFonts w:eastAsia="Times New Roman" w:cstheme="minorHAnsi"/>
          <w:b/>
          <w:lang w:eastAsia="hr-HR"/>
        </w:rPr>
        <w:t>Obrazovanje i znanost</w:t>
      </w:r>
      <w:r w:rsidRPr="0091228A">
        <w:rPr>
          <w:rFonts w:eastAsia="Times New Roman" w:cstheme="minorHAnsi"/>
          <w:bCs/>
          <w:lang w:eastAsia="hr-HR"/>
        </w:rPr>
        <w:t xml:space="preserve"> su ključni čimbenici razvoja s kojim</w:t>
      </w:r>
      <w:r w:rsidR="00AD0F9C">
        <w:rPr>
          <w:rFonts w:eastAsia="Times New Roman" w:cstheme="minorHAnsi"/>
          <w:bCs/>
          <w:lang w:eastAsia="hr-HR"/>
        </w:rPr>
        <w:t>a</w:t>
      </w:r>
      <w:r w:rsidRPr="0091228A">
        <w:rPr>
          <w:rFonts w:eastAsia="Times New Roman" w:cstheme="minorHAnsi"/>
          <w:bCs/>
          <w:lang w:eastAsia="hr-HR"/>
        </w:rPr>
        <w:t xml:space="preserve"> raspolaže Županija. </w:t>
      </w:r>
      <w:r w:rsidR="00EF7154" w:rsidRPr="0091228A">
        <w:rPr>
          <w:rFonts w:eastAsia="Times New Roman" w:cstheme="minorHAnsi"/>
          <w:bCs/>
          <w:lang w:eastAsia="hr-HR"/>
        </w:rPr>
        <w:t>V</w:t>
      </w:r>
      <w:r w:rsidRPr="0091228A">
        <w:rPr>
          <w:rFonts w:eastAsia="Times New Roman" w:cstheme="minorHAnsi"/>
          <w:lang w:eastAsia="hr-HR"/>
        </w:rPr>
        <w:t>ažan razvojni potencijal su centri kompetencije u strukovnom obrazovanju i</w:t>
      </w:r>
      <w:r w:rsidR="00EF7154" w:rsidRPr="0091228A">
        <w:rPr>
          <w:rFonts w:eastAsia="Times New Roman" w:cstheme="minorHAnsi"/>
          <w:lang w:eastAsia="hr-HR"/>
        </w:rPr>
        <w:t xml:space="preserve"> </w:t>
      </w:r>
      <w:r w:rsidRPr="0091228A">
        <w:rPr>
          <w:rFonts w:eastAsia="Times New Roman" w:cstheme="minorHAnsi"/>
          <w:lang w:eastAsia="hr-HR"/>
        </w:rPr>
        <w:t>Sveučilište u Slavonskom Brodu,  pogotovo njihovi obrazovni programi usmjereni na</w:t>
      </w:r>
      <w:r w:rsidRPr="0091228A">
        <w:rPr>
          <w:rFonts w:cstheme="minorHAnsi"/>
        </w:rPr>
        <w:t xml:space="preserve">  suradnju s gospodarskim sektorom. Tu su također i dosadašnja ulaganja u obrazovanje na području metalnog, drvnog i poljoprivrednog sektora</w:t>
      </w:r>
      <w:r w:rsidR="00EF7154" w:rsidRPr="0091228A">
        <w:rPr>
          <w:rFonts w:cstheme="minorHAnsi"/>
        </w:rPr>
        <w:t xml:space="preserve">. </w:t>
      </w:r>
      <w:r w:rsidR="00AD0F9C">
        <w:rPr>
          <w:rFonts w:cstheme="minorHAnsi"/>
        </w:rPr>
        <w:t>Z</w:t>
      </w:r>
      <w:r w:rsidRPr="0091228A">
        <w:rPr>
          <w:rFonts w:cstheme="minorHAnsi"/>
        </w:rPr>
        <w:t>a razvoj konkurentnog gospodarstva ključn</w:t>
      </w:r>
      <w:r w:rsidR="00AD0F9C">
        <w:rPr>
          <w:rFonts w:cstheme="minorHAnsi"/>
        </w:rPr>
        <w:t xml:space="preserve">e su također </w:t>
      </w:r>
      <w:r w:rsidRPr="0091228A">
        <w:rPr>
          <w:rFonts w:cstheme="minorHAnsi"/>
        </w:rPr>
        <w:t xml:space="preserve">odlučnost </w:t>
      </w:r>
      <w:r w:rsidR="00AD0F9C">
        <w:rPr>
          <w:rFonts w:cstheme="minorHAnsi"/>
        </w:rPr>
        <w:t xml:space="preserve">i spremnost </w:t>
      </w:r>
      <w:r w:rsidRPr="0091228A">
        <w:rPr>
          <w:rFonts w:cstheme="minorHAnsi"/>
        </w:rPr>
        <w:t>Županije za ulaganja u nova razvojna područja (zelen</w:t>
      </w:r>
      <w:r w:rsidR="002B0364">
        <w:rPr>
          <w:rFonts w:cstheme="minorHAnsi"/>
        </w:rPr>
        <w:t>o gospodarstvo</w:t>
      </w:r>
      <w:r w:rsidRPr="0091228A">
        <w:rPr>
          <w:rFonts w:cstheme="minorHAnsi"/>
        </w:rPr>
        <w:t>, digitalno</w:t>
      </w:r>
      <w:r w:rsidR="00917731">
        <w:rPr>
          <w:rFonts w:cstheme="minorHAnsi"/>
        </w:rPr>
        <w:t xml:space="preserve"> gospodarstvo</w:t>
      </w:r>
      <w:r w:rsidRPr="0091228A">
        <w:rPr>
          <w:rFonts w:cstheme="minorHAnsi"/>
        </w:rPr>
        <w:t>, bioekonomija, socijalne inovacije i dr.).</w:t>
      </w:r>
    </w:p>
    <w:p w14:paraId="7D2C43B4" w14:textId="3A5F193C" w:rsidR="00580B39" w:rsidRPr="0091228A" w:rsidRDefault="00580B39" w:rsidP="0018496E">
      <w:pPr>
        <w:jc w:val="both"/>
      </w:pPr>
      <w:r w:rsidRPr="0091228A">
        <w:rPr>
          <w:iCs/>
        </w:rPr>
        <w:t xml:space="preserve">U </w:t>
      </w:r>
      <w:r w:rsidR="00EF7154" w:rsidRPr="0091228A">
        <w:rPr>
          <w:iCs/>
        </w:rPr>
        <w:t>području</w:t>
      </w:r>
      <w:r w:rsidR="00EF7154" w:rsidRPr="00502EED">
        <w:rPr>
          <w:b/>
          <w:bCs/>
          <w:iCs/>
        </w:rPr>
        <w:t xml:space="preserve"> kulture</w:t>
      </w:r>
      <w:r w:rsidR="00EF7154" w:rsidRPr="0091228A">
        <w:rPr>
          <w:iCs/>
        </w:rPr>
        <w:t xml:space="preserve"> </w:t>
      </w:r>
      <w:r w:rsidRPr="0091228A">
        <w:rPr>
          <w:iCs/>
        </w:rPr>
        <w:t xml:space="preserve">potencijal </w:t>
      </w:r>
      <w:r w:rsidR="002E48B7">
        <w:rPr>
          <w:iCs/>
        </w:rPr>
        <w:t>predstavlja</w:t>
      </w:r>
      <w:r w:rsidR="00EF7154" w:rsidRPr="0091228A">
        <w:rPr>
          <w:iCs/>
        </w:rPr>
        <w:t xml:space="preserve"> </w:t>
      </w:r>
      <w:r w:rsidRPr="0091228A">
        <w:rPr>
          <w:iCs/>
        </w:rPr>
        <w:t xml:space="preserve">bogata materijalna i nematerijalna kulturna baština Županije, </w:t>
      </w:r>
      <w:r w:rsidRPr="0091228A">
        <w:t>mnoštvo raznih manifestacija i događanja tijekom godine koj</w:t>
      </w:r>
      <w:r w:rsidR="002E48B7">
        <w:t>i</w:t>
      </w:r>
      <w:r w:rsidRPr="0091228A">
        <w:t xml:space="preserve"> doprinose  očuvanju identiteta i tradicije kao i </w:t>
      </w:r>
      <w:r w:rsidRPr="0091228A">
        <w:rPr>
          <w:iCs/>
        </w:rPr>
        <w:t>po</w:t>
      </w:r>
      <w:r w:rsidRPr="0091228A">
        <w:t xml:space="preserve">rast proračunskog </w:t>
      </w:r>
      <w:r w:rsidR="00EF7154" w:rsidRPr="0091228A">
        <w:t>izdvajanja za kulturu</w:t>
      </w:r>
      <w:r w:rsidRPr="0091228A">
        <w:t xml:space="preserve">. Značajan razvojni potencijal su i mogućnosti gospodarskog korištenja kulturne baštine, pokretanje i razvoj kulturnih i kreativnih industrija, posebno za zapošljavanje mladih te razvoj kulturnog turizma. </w:t>
      </w:r>
    </w:p>
    <w:p w14:paraId="262E5A30" w14:textId="6BF68541" w:rsidR="00580B39" w:rsidRPr="0091228A" w:rsidRDefault="00580B39" w:rsidP="0018496E">
      <w:pPr>
        <w:jc w:val="both"/>
        <w:rPr>
          <w:rFonts w:cstheme="minorHAnsi"/>
        </w:rPr>
      </w:pPr>
      <w:r w:rsidRPr="0091228A">
        <w:t xml:space="preserve">U </w:t>
      </w:r>
      <w:r w:rsidRPr="00502EED">
        <w:rPr>
          <w:b/>
          <w:bCs/>
        </w:rPr>
        <w:t>sportu</w:t>
      </w:r>
      <w:r w:rsidRPr="0091228A">
        <w:t xml:space="preserve"> su razvojni potencijal</w:t>
      </w:r>
      <w:r w:rsidR="00EF7154" w:rsidRPr="0091228A">
        <w:t xml:space="preserve">i </w:t>
      </w:r>
      <w:r w:rsidR="00B61833" w:rsidRPr="0091228A">
        <w:t xml:space="preserve">volja </w:t>
      </w:r>
      <w:r w:rsidRPr="0091228A">
        <w:t xml:space="preserve">djece, mladih i starijih osoba </w:t>
      </w:r>
      <w:r w:rsidR="00B61833" w:rsidRPr="0091228A">
        <w:t xml:space="preserve">za uključivanje </w:t>
      </w:r>
      <w:r w:rsidRPr="0091228A">
        <w:t>u sportske aktivnosti, zatim prepoznatljivost Županije po vrhunskim sportašima, integrirani pristup razvoju kroz povezivanje sporta, turizma i kulture kao i mogućnosti za razvoj sportskog turizma. Uz to</w:t>
      </w:r>
      <w:r w:rsidR="00B61833" w:rsidRPr="0091228A">
        <w:t>,</w:t>
      </w:r>
      <w:r w:rsidRPr="0091228A">
        <w:t xml:space="preserve"> </w:t>
      </w:r>
      <w:r w:rsidRPr="0091228A">
        <w:rPr>
          <w:rFonts w:cstheme="minorHAnsi"/>
        </w:rPr>
        <w:t>rastu proračunska ulaganja u razvoj sporta.</w:t>
      </w:r>
      <w:r w:rsidRPr="0091228A">
        <w:t xml:space="preserve"> </w:t>
      </w:r>
    </w:p>
    <w:p w14:paraId="3E51DE18" w14:textId="5F687AAC" w:rsidR="00580B39" w:rsidRPr="0091228A" w:rsidRDefault="00580B39" w:rsidP="0018496E">
      <w:pPr>
        <w:jc w:val="both"/>
      </w:pPr>
      <w:r w:rsidRPr="0091228A">
        <w:t xml:space="preserve">Potencijal za daljnji razvoj  </w:t>
      </w:r>
      <w:r w:rsidRPr="00502EED">
        <w:rPr>
          <w:b/>
          <w:bCs/>
        </w:rPr>
        <w:t>OCD-</w:t>
      </w:r>
      <w:r w:rsidR="002E48B7" w:rsidRPr="00502EED">
        <w:rPr>
          <w:b/>
          <w:bCs/>
        </w:rPr>
        <w:t>ov</w:t>
      </w:r>
      <w:r w:rsidRPr="00502EED">
        <w:rPr>
          <w:b/>
          <w:bCs/>
        </w:rPr>
        <w:t xml:space="preserve">a </w:t>
      </w:r>
      <w:r w:rsidRPr="0091228A">
        <w:t>su poboljšanje kapaciteta, znanja i vještina kako bi mog</w:t>
      </w:r>
      <w:r w:rsidR="002E48B7">
        <w:t>li</w:t>
      </w:r>
      <w:r w:rsidRPr="0091228A">
        <w:t xml:space="preserve"> doprinijeti uspješnoj realizaciji Plana razvoja </w:t>
      </w:r>
      <w:r w:rsidR="002E48B7">
        <w:t xml:space="preserve">te </w:t>
      </w:r>
      <w:r w:rsidRPr="0091228A">
        <w:t>drugih županijskih planova i programa. Također, potencijal su i OCD</w:t>
      </w:r>
      <w:r w:rsidR="002E48B7">
        <w:t>-ovi</w:t>
      </w:r>
      <w:r w:rsidRPr="0091228A">
        <w:rPr>
          <w:rFonts w:eastAsia="Times New Roman"/>
          <w:lang w:eastAsia="hr-HR"/>
        </w:rPr>
        <w:t xml:space="preserve"> s novim i inovativnim programima rad</w:t>
      </w:r>
      <w:r w:rsidR="003419D5">
        <w:rPr>
          <w:rFonts w:eastAsia="Times New Roman"/>
          <w:lang w:eastAsia="hr-HR"/>
        </w:rPr>
        <w:t>a</w:t>
      </w:r>
      <w:r w:rsidRPr="0091228A">
        <w:rPr>
          <w:rFonts w:eastAsia="Times New Roman"/>
          <w:lang w:eastAsia="hr-HR"/>
        </w:rPr>
        <w:t xml:space="preserve">  s mladima.</w:t>
      </w:r>
    </w:p>
    <w:p w14:paraId="51822232" w14:textId="4822D384" w:rsidR="008100B5" w:rsidRPr="0091228A" w:rsidRDefault="00366EE6" w:rsidP="008100B5">
      <w:pPr>
        <w:jc w:val="both"/>
        <w:rPr>
          <w:rFonts w:cstheme="minorHAnsi"/>
        </w:rPr>
      </w:pPr>
      <w:r w:rsidRPr="00502EED">
        <w:rPr>
          <w:rFonts w:cstheme="minorHAnsi"/>
          <w:b/>
          <w:bCs/>
          <w:iCs/>
          <w:u w:val="single"/>
        </w:rPr>
        <w:t>P</w:t>
      </w:r>
      <w:r w:rsidR="008100B5" w:rsidRPr="00502EED">
        <w:rPr>
          <w:rFonts w:cstheme="minorHAnsi"/>
          <w:b/>
          <w:bCs/>
          <w:iCs/>
          <w:u w:val="single"/>
        </w:rPr>
        <w:t>otencijal</w:t>
      </w:r>
      <w:r w:rsidR="00F64C86" w:rsidRPr="00502EED">
        <w:rPr>
          <w:rFonts w:cstheme="minorHAnsi"/>
          <w:b/>
          <w:bCs/>
          <w:iCs/>
          <w:u w:val="single"/>
        </w:rPr>
        <w:t xml:space="preserve"> </w:t>
      </w:r>
      <w:r w:rsidR="008100B5" w:rsidRPr="00502EED">
        <w:rPr>
          <w:rFonts w:cstheme="minorHAnsi"/>
          <w:b/>
          <w:bCs/>
          <w:iCs/>
          <w:u w:val="single"/>
        </w:rPr>
        <w:t>za unapređenje okoliša</w:t>
      </w:r>
      <w:r w:rsidR="008100B5" w:rsidRPr="00502EED">
        <w:rPr>
          <w:rFonts w:cstheme="minorHAnsi"/>
          <w:b/>
          <w:bCs/>
          <w:iCs/>
        </w:rPr>
        <w:t xml:space="preserve"> </w:t>
      </w:r>
      <w:r w:rsidR="00F64C86" w:rsidRPr="0091228A">
        <w:rPr>
          <w:rFonts w:cstheme="minorHAnsi"/>
          <w:iCs/>
        </w:rPr>
        <w:t xml:space="preserve">vidljiv je u </w:t>
      </w:r>
      <w:r w:rsidR="008100B5" w:rsidRPr="0091228A">
        <w:rPr>
          <w:rFonts w:eastAsia="Times New Roman" w:cstheme="minorHAnsi"/>
          <w:lang w:eastAsia="hr-HR"/>
        </w:rPr>
        <w:t>očuvan</w:t>
      </w:r>
      <w:r w:rsidR="00F64C86" w:rsidRPr="0091228A">
        <w:rPr>
          <w:rFonts w:eastAsia="Times New Roman" w:cstheme="minorHAnsi"/>
          <w:lang w:eastAsia="hr-HR"/>
        </w:rPr>
        <w:t xml:space="preserve">oj </w:t>
      </w:r>
      <w:r w:rsidR="00424240" w:rsidRPr="0091228A">
        <w:rPr>
          <w:rFonts w:eastAsia="Times New Roman" w:cstheme="minorHAnsi"/>
          <w:lang w:eastAsia="hr-HR"/>
        </w:rPr>
        <w:t xml:space="preserve">i </w:t>
      </w:r>
      <w:r w:rsidR="008100B5" w:rsidRPr="0091228A">
        <w:rPr>
          <w:rFonts w:eastAsia="Times New Roman" w:cstheme="minorHAnsi"/>
          <w:lang w:eastAsia="hr-HR"/>
        </w:rPr>
        <w:t>bogat</w:t>
      </w:r>
      <w:r w:rsidR="00F64C86" w:rsidRPr="0091228A">
        <w:rPr>
          <w:rFonts w:eastAsia="Times New Roman" w:cstheme="minorHAnsi"/>
          <w:lang w:eastAsia="hr-HR"/>
        </w:rPr>
        <w:t>oj</w:t>
      </w:r>
      <w:r w:rsidR="008100B5" w:rsidRPr="0091228A">
        <w:rPr>
          <w:rFonts w:eastAsia="Times New Roman" w:cstheme="minorHAnsi"/>
          <w:lang w:eastAsia="hr-HR"/>
        </w:rPr>
        <w:t xml:space="preserve"> prirodn</w:t>
      </w:r>
      <w:r w:rsidR="00F64C86" w:rsidRPr="0091228A">
        <w:rPr>
          <w:rFonts w:eastAsia="Times New Roman" w:cstheme="minorHAnsi"/>
          <w:lang w:eastAsia="hr-HR"/>
        </w:rPr>
        <w:t>oj</w:t>
      </w:r>
      <w:r w:rsidR="008100B5" w:rsidRPr="0091228A">
        <w:rPr>
          <w:rFonts w:eastAsia="Times New Roman" w:cstheme="minorHAnsi"/>
          <w:lang w:eastAsia="hr-HR"/>
        </w:rPr>
        <w:t xml:space="preserve"> baštin</w:t>
      </w:r>
      <w:r w:rsidR="00F64C86" w:rsidRPr="0091228A">
        <w:rPr>
          <w:rFonts w:eastAsia="Times New Roman" w:cstheme="minorHAnsi"/>
          <w:lang w:eastAsia="hr-HR"/>
        </w:rPr>
        <w:t>i</w:t>
      </w:r>
      <w:r w:rsidR="008100B5" w:rsidRPr="0091228A">
        <w:rPr>
          <w:rFonts w:eastAsia="Times New Roman" w:cstheme="minorHAnsi"/>
          <w:lang w:eastAsia="hr-HR"/>
        </w:rPr>
        <w:t xml:space="preserve"> i zaštićeni</w:t>
      </w:r>
      <w:r w:rsidR="00F64C86" w:rsidRPr="0091228A">
        <w:rPr>
          <w:rFonts w:eastAsia="Times New Roman" w:cstheme="minorHAnsi"/>
          <w:lang w:eastAsia="hr-HR"/>
        </w:rPr>
        <w:t>m</w:t>
      </w:r>
      <w:r w:rsidR="008100B5" w:rsidRPr="0091228A">
        <w:rPr>
          <w:rFonts w:eastAsia="Times New Roman" w:cstheme="minorHAnsi"/>
          <w:lang w:eastAsia="hr-HR"/>
        </w:rPr>
        <w:t xml:space="preserve"> dijelovi</w:t>
      </w:r>
      <w:r w:rsidR="00F64C86" w:rsidRPr="0091228A">
        <w:rPr>
          <w:rFonts w:eastAsia="Times New Roman" w:cstheme="minorHAnsi"/>
          <w:lang w:eastAsia="hr-HR"/>
        </w:rPr>
        <w:t>ma</w:t>
      </w:r>
      <w:r w:rsidR="008100B5" w:rsidRPr="0091228A">
        <w:rPr>
          <w:rFonts w:eastAsia="Times New Roman" w:cstheme="minorHAnsi"/>
          <w:lang w:eastAsia="hr-HR"/>
        </w:rPr>
        <w:t xml:space="preserve"> prirode, </w:t>
      </w:r>
      <w:r w:rsidR="008100B5" w:rsidRPr="0091228A">
        <w:rPr>
          <w:rFonts w:cstheme="minorHAnsi"/>
          <w:iCs/>
        </w:rPr>
        <w:t xml:space="preserve"> industrijsk</w:t>
      </w:r>
      <w:r w:rsidR="00F64C86" w:rsidRPr="0091228A">
        <w:rPr>
          <w:rFonts w:cstheme="minorHAnsi"/>
          <w:iCs/>
        </w:rPr>
        <w:t>oj</w:t>
      </w:r>
      <w:r w:rsidR="008100B5" w:rsidRPr="0091228A">
        <w:rPr>
          <w:rFonts w:cstheme="minorHAnsi"/>
          <w:iCs/>
        </w:rPr>
        <w:t xml:space="preserve"> </w:t>
      </w:r>
      <w:r w:rsidR="008100B5" w:rsidRPr="0091228A">
        <w:rPr>
          <w:rFonts w:cstheme="minorHAnsi"/>
        </w:rPr>
        <w:t>nezagađenost</w:t>
      </w:r>
      <w:r w:rsidR="00F64C86" w:rsidRPr="0091228A">
        <w:rPr>
          <w:rFonts w:cstheme="minorHAnsi"/>
        </w:rPr>
        <w:t>i</w:t>
      </w:r>
      <w:r w:rsidR="008100B5" w:rsidRPr="0091228A">
        <w:rPr>
          <w:rFonts w:cstheme="minorHAnsi"/>
        </w:rPr>
        <w:t xml:space="preserve"> ruralnih dijelova Županije, </w:t>
      </w:r>
      <w:r w:rsidR="008100B5" w:rsidRPr="0091228A">
        <w:rPr>
          <w:rFonts w:eastAsia="Times New Roman" w:cstheme="minorHAnsi"/>
          <w:bCs/>
          <w:lang w:eastAsia="hr-HR"/>
        </w:rPr>
        <w:t>planiran</w:t>
      </w:r>
      <w:r w:rsidR="00F64C86" w:rsidRPr="0091228A">
        <w:rPr>
          <w:rFonts w:eastAsia="Times New Roman" w:cstheme="minorHAnsi"/>
          <w:bCs/>
          <w:lang w:eastAsia="hr-HR"/>
        </w:rPr>
        <w:t>oj</w:t>
      </w:r>
      <w:r w:rsidR="008100B5" w:rsidRPr="0091228A">
        <w:rPr>
          <w:rFonts w:eastAsia="Times New Roman" w:cstheme="minorHAnsi"/>
          <w:bCs/>
          <w:lang w:eastAsia="hr-HR"/>
        </w:rPr>
        <w:t xml:space="preserve"> izgradnj</w:t>
      </w:r>
      <w:r w:rsidR="00F64C86" w:rsidRPr="0091228A">
        <w:rPr>
          <w:rFonts w:eastAsia="Times New Roman" w:cstheme="minorHAnsi"/>
          <w:bCs/>
          <w:lang w:eastAsia="hr-HR"/>
        </w:rPr>
        <w:t>i</w:t>
      </w:r>
      <w:r w:rsidR="008100B5" w:rsidRPr="0091228A">
        <w:rPr>
          <w:rFonts w:eastAsia="Times New Roman" w:cstheme="minorHAnsi"/>
          <w:bCs/>
          <w:lang w:eastAsia="hr-HR"/>
        </w:rPr>
        <w:t xml:space="preserve"> Regionalnog centra za gospodarenje otpadom „Šagulje“  te </w:t>
      </w:r>
      <w:r w:rsidR="008100B5" w:rsidRPr="0091228A">
        <w:rPr>
          <w:rFonts w:cstheme="minorHAnsi"/>
        </w:rPr>
        <w:t>ulaganj</w:t>
      </w:r>
      <w:r w:rsidR="00F64C86" w:rsidRPr="0091228A">
        <w:rPr>
          <w:rFonts w:cstheme="minorHAnsi"/>
        </w:rPr>
        <w:t xml:space="preserve">ima </w:t>
      </w:r>
      <w:r w:rsidR="008100B5" w:rsidRPr="0091228A">
        <w:rPr>
          <w:rFonts w:cstheme="minorHAnsi"/>
        </w:rPr>
        <w:t xml:space="preserve"> u ekološku proizvodnju poljoprivrednih proizvoda.</w:t>
      </w:r>
    </w:p>
    <w:p w14:paraId="667A0586" w14:textId="76CC4EBD" w:rsidR="008100B5" w:rsidRPr="0091228A" w:rsidRDefault="003419D5" w:rsidP="008100B5">
      <w:pPr>
        <w:jc w:val="both"/>
        <w:rPr>
          <w:rFonts w:cstheme="minorHAnsi"/>
        </w:rPr>
      </w:pPr>
      <w:r>
        <w:rPr>
          <w:rFonts w:eastAsia="Times New Roman" w:cstheme="minorHAnsi"/>
          <w:bCs/>
          <w:lang w:eastAsia="hr-HR"/>
        </w:rPr>
        <w:t>P</w:t>
      </w:r>
      <w:r w:rsidR="008100B5" w:rsidRPr="0091228A">
        <w:rPr>
          <w:rFonts w:eastAsia="Times New Roman" w:cstheme="minorHAnsi"/>
          <w:bCs/>
          <w:lang w:eastAsia="hr-HR"/>
        </w:rPr>
        <w:t>otencijal Županije</w:t>
      </w:r>
      <w:r>
        <w:rPr>
          <w:rFonts w:eastAsia="Times New Roman" w:cstheme="minorHAnsi"/>
          <w:bCs/>
          <w:lang w:eastAsia="hr-HR"/>
        </w:rPr>
        <w:t xml:space="preserve"> z</w:t>
      </w:r>
      <w:r w:rsidRPr="0091228A">
        <w:rPr>
          <w:rFonts w:eastAsia="Times New Roman" w:cstheme="minorHAnsi"/>
          <w:bCs/>
          <w:lang w:eastAsia="hr-HR"/>
        </w:rPr>
        <w:t xml:space="preserve">a daljnji razvoj </w:t>
      </w:r>
      <w:r w:rsidRPr="00502EED">
        <w:rPr>
          <w:rFonts w:eastAsia="Times New Roman" w:cstheme="minorHAnsi"/>
          <w:b/>
          <w:lang w:eastAsia="hr-HR"/>
        </w:rPr>
        <w:t>vodne infrastrukture</w:t>
      </w:r>
      <w:r w:rsidR="008100B5" w:rsidRPr="0091228A">
        <w:rPr>
          <w:rFonts w:eastAsia="Times New Roman" w:cstheme="minorHAnsi"/>
          <w:bCs/>
          <w:lang w:eastAsia="hr-HR"/>
        </w:rPr>
        <w:t xml:space="preserve"> </w:t>
      </w:r>
      <w:r w:rsidR="00424240" w:rsidRPr="0091228A">
        <w:rPr>
          <w:rFonts w:eastAsia="Times New Roman" w:cstheme="minorHAnsi"/>
          <w:bCs/>
          <w:lang w:eastAsia="hr-HR"/>
        </w:rPr>
        <w:t xml:space="preserve">izražen je </w:t>
      </w:r>
      <w:r w:rsidR="008100B5" w:rsidRPr="0091228A">
        <w:rPr>
          <w:rFonts w:eastAsia="Times New Roman" w:cstheme="minorHAnsi"/>
          <w:bCs/>
          <w:lang w:eastAsia="hr-HR"/>
        </w:rPr>
        <w:t>u bogatim obnovljivim zalihama podzemnih voda</w:t>
      </w:r>
      <w:r w:rsidR="00B61833" w:rsidRPr="0091228A">
        <w:rPr>
          <w:rFonts w:eastAsia="Times New Roman" w:cstheme="minorHAnsi"/>
          <w:bCs/>
          <w:lang w:eastAsia="hr-HR"/>
        </w:rPr>
        <w:t xml:space="preserve">. </w:t>
      </w:r>
      <w:r>
        <w:rPr>
          <w:rFonts w:eastAsia="Times New Roman" w:cstheme="minorHAnsi"/>
          <w:bCs/>
          <w:lang w:eastAsia="hr-HR"/>
        </w:rPr>
        <w:t xml:space="preserve">S obzirom na </w:t>
      </w:r>
      <w:r w:rsidR="008100B5" w:rsidRPr="0091228A">
        <w:rPr>
          <w:rFonts w:eastAsia="Times New Roman" w:cstheme="minorHAnsi"/>
          <w:bCs/>
          <w:lang w:eastAsia="hr-HR"/>
        </w:rPr>
        <w:t xml:space="preserve">energetsku infrastrukturu </w:t>
      </w:r>
      <w:r w:rsidR="00F64C86" w:rsidRPr="0091228A">
        <w:rPr>
          <w:rFonts w:eastAsia="Times New Roman" w:cstheme="minorHAnsi"/>
          <w:bCs/>
          <w:lang w:eastAsia="hr-HR"/>
        </w:rPr>
        <w:t xml:space="preserve">potencijal za daljnji razvoj je u </w:t>
      </w:r>
      <w:r w:rsidR="008100B5" w:rsidRPr="0091228A">
        <w:rPr>
          <w:rFonts w:eastAsia="Times New Roman" w:cstheme="minorHAnsi"/>
          <w:bCs/>
          <w:lang w:eastAsia="hr-HR"/>
        </w:rPr>
        <w:t>dobr</w:t>
      </w:r>
      <w:r w:rsidR="00F64C86" w:rsidRPr="0091228A">
        <w:rPr>
          <w:rFonts w:eastAsia="Times New Roman" w:cstheme="minorHAnsi"/>
          <w:bCs/>
          <w:lang w:eastAsia="hr-HR"/>
        </w:rPr>
        <w:t>oj</w:t>
      </w:r>
      <w:r w:rsidR="008100B5" w:rsidRPr="0091228A">
        <w:rPr>
          <w:rFonts w:eastAsia="Times New Roman" w:cstheme="minorHAnsi"/>
          <w:bCs/>
          <w:lang w:eastAsia="hr-HR"/>
        </w:rPr>
        <w:t xml:space="preserve"> opskrbljenost</w:t>
      </w:r>
      <w:r w:rsidR="00F64C86" w:rsidRPr="0091228A">
        <w:rPr>
          <w:rFonts w:eastAsia="Times New Roman" w:cstheme="minorHAnsi"/>
          <w:bCs/>
          <w:lang w:eastAsia="hr-HR"/>
        </w:rPr>
        <w:t>i</w:t>
      </w:r>
      <w:r w:rsidR="008100B5" w:rsidRPr="0091228A">
        <w:rPr>
          <w:rFonts w:eastAsia="Times New Roman" w:cstheme="minorHAnsi"/>
          <w:bCs/>
          <w:lang w:eastAsia="hr-HR"/>
        </w:rPr>
        <w:t xml:space="preserve"> stanovništva plinom</w:t>
      </w:r>
      <w:r w:rsidR="0092577E" w:rsidRPr="0091228A">
        <w:rPr>
          <w:rFonts w:eastAsia="Times New Roman" w:cstheme="minorHAnsi"/>
          <w:bCs/>
          <w:lang w:eastAsia="hr-HR"/>
        </w:rPr>
        <w:t xml:space="preserve">, </w:t>
      </w:r>
      <w:r w:rsidR="008100B5" w:rsidRPr="0091228A">
        <w:rPr>
          <w:rFonts w:eastAsia="Times New Roman" w:cstheme="minorHAnsi"/>
          <w:bCs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 xml:space="preserve">u </w:t>
      </w:r>
      <w:r w:rsidR="008100B5" w:rsidRPr="0091228A">
        <w:rPr>
          <w:rFonts w:cstheme="minorHAnsi"/>
        </w:rPr>
        <w:t>p</w:t>
      </w:r>
      <w:r w:rsidR="0092577E" w:rsidRPr="0091228A">
        <w:rPr>
          <w:rFonts w:cstheme="minorHAnsi"/>
        </w:rPr>
        <w:t xml:space="preserve">rovedbi </w:t>
      </w:r>
      <w:r w:rsidR="008100B5" w:rsidRPr="0091228A">
        <w:rPr>
          <w:rFonts w:cstheme="minorHAnsi"/>
        </w:rPr>
        <w:t xml:space="preserve"> mjera energetske učinkovitosti i </w:t>
      </w:r>
      <w:r w:rsidR="0092577E" w:rsidRPr="0091228A">
        <w:rPr>
          <w:rFonts w:cstheme="minorHAnsi"/>
        </w:rPr>
        <w:t xml:space="preserve">budućem </w:t>
      </w:r>
      <w:r w:rsidR="008100B5" w:rsidRPr="0091228A">
        <w:rPr>
          <w:rFonts w:cstheme="minorHAnsi"/>
        </w:rPr>
        <w:t>korištenj</w:t>
      </w:r>
      <w:r w:rsidR="0092577E" w:rsidRPr="0091228A">
        <w:rPr>
          <w:rFonts w:cstheme="minorHAnsi"/>
        </w:rPr>
        <w:t>u</w:t>
      </w:r>
      <w:r w:rsidR="008100B5" w:rsidRPr="0091228A">
        <w:rPr>
          <w:rFonts w:cstheme="minorHAnsi"/>
        </w:rPr>
        <w:t xml:space="preserve"> nacionalnih i programa </w:t>
      </w:r>
      <w:r w:rsidR="0021472A" w:rsidRPr="0091228A">
        <w:rPr>
          <w:rFonts w:cstheme="minorHAnsi"/>
        </w:rPr>
        <w:t xml:space="preserve">EU-a </w:t>
      </w:r>
      <w:r w:rsidR="008100B5" w:rsidRPr="0091228A">
        <w:rPr>
          <w:rFonts w:cstheme="minorHAnsi"/>
        </w:rPr>
        <w:t xml:space="preserve">za  korištenje </w:t>
      </w:r>
      <w:r w:rsidR="0021472A">
        <w:rPr>
          <w:rFonts w:cstheme="minorHAnsi"/>
        </w:rPr>
        <w:t xml:space="preserve">i ulaganja u </w:t>
      </w:r>
      <w:r w:rsidR="008100B5" w:rsidRPr="0091228A">
        <w:rPr>
          <w:rFonts w:cstheme="minorHAnsi"/>
        </w:rPr>
        <w:t>obnovljiv</w:t>
      </w:r>
      <w:r w:rsidR="0021472A">
        <w:rPr>
          <w:rFonts w:cstheme="minorHAnsi"/>
        </w:rPr>
        <w:t>e</w:t>
      </w:r>
      <w:r w:rsidR="008100B5" w:rsidRPr="0091228A">
        <w:rPr>
          <w:rFonts w:cstheme="minorHAnsi"/>
        </w:rPr>
        <w:t xml:space="preserve"> izvor</w:t>
      </w:r>
      <w:r w:rsidR="0021472A">
        <w:rPr>
          <w:rFonts w:cstheme="minorHAnsi"/>
        </w:rPr>
        <w:t>e</w:t>
      </w:r>
      <w:r w:rsidR="008100B5" w:rsidRPr="0091228A">
        <w:rPr>
          <w:rFonts w:cstheme="minorHAnsi"/>
        </w:rPr>
        <w:t xml:space="preserve"> energije. </w:t>
      </w:r>
    </w:p>
    <w:p w14:paraId="25060826" w14:textId="3FFE3634" w:rsidR="008100B5" w:rsidRPr="0091228A" w:rsidRDefault="00424240" w:rsidP="008100B5">
      <w:pPr>
        <w:jc w:val="both"/>
        <w:rPr>
          <w:rFonts w:cstheme="minorHAnsi"/>
          <w:lang w:eastAsia="hr-HR"/>
        </w:rPr>
      </w:pPr>
      <w:r w:rsidRPr="0091228A">
        <w:rPr>
          <w:rFonts w:cstheme="minorHAnsi"/>
          <w:lang w:eastAsia="hr-HR"/>
        </w:rPr>
        <w:t xml:space="preserve">U sektoru </w:t>
      </w:r>
      <w:r w:rsidRPr="00502EED">
        <w:rPr>
          <w:rFonts w:cstheme="minorHAnsi"/>
          <w:b/>
          <w:bCs/>
          <w:lang w:eastAsia="hr-HR"/>
        </w:rPr>
        <w:t>prometa</w:t>
      </w:r>
      <w:r w:rsidRPr="00502EED">
        <w:rPr>
          <w:rFonts w:cstheme="minorHAnsi"/>
          <w:b/>
          <w:bCs/>
          <w:iCs/>
        </w:rPr>
        <w:t xml:space="preserve"> </w:t>
      </w:r>
      <w:r w:rsidRPr="0091228A">
        <w:rPr>
          <w:rFonts w:cstheme="minorHAnsi"/>
          <w:iCs/>
        </w:rPr>
        <w:t xml:space="preserve">razvojni potencijal </w:t>
      </w:r>
      <w:r w:rsidR="0021472A">
        <w:rPr>
          <w:rFonts w:cstheme="minorHAnsi"/>
          <w:iCs/>
        </w:rPr>
        <w:t xml:space="preserve">predstavlja </w:t>
      </w:r>
      <w:r w:rsidR="00B61833" w:rsidRPr="0091228A">
        <w:rPr>
          <w:rFonts w:eastAsia="Times New Roman" w:cstheme="minorHAnsi"/>
          <w:bCs/>
          <w:lang w:eastAsia="hr-HR"/>
        </w:rPr>
        <w:t>razvijen</w:t>
      </w:r>
      <w:r w:rsidR="0021472A">
        <w:rPr>
          <w:rFonts w:eastAsia="Times New Roman" w:cstheme="minorHAnsi"/>
          <w:bCs/>
          <w:lang w:eastAsia="hr-HR"/>
        </w:rPr>
        <w:t>a</w:t>
      </w:r>
      <w:r w:rsidR="008100B5" w:rsidRPr="0091228A">
        <w:rPr>
          <w:rFonts w:eastAsia="Times New Roman" w:cstheme="minorHAnsi"/>
          <w:bCs/>
          <w:lang w:eastAsia="hr-HR"/>
        </w:rPr>
        <w:t xml:space="preserve"> </w:t>
      </w:r>
      <w:r w:rsidR="00B61833" w:rsidRPr="0091228A">
        <w:rPr>
          <w:rFonts w:eastAsia="Times New Roman" w:cstheme="minorHAnsi"/>
          <w:bCs/>
          <w:lang w:eastAsia="hr-HR"/>
        </w:rPr>
        <w:t>cestovn</w:t>
      </w:r>
      <w:r w:rsidR="0021472A">
        <w:rPr>
          <w:rFonts w:eastAsia="Times New Roman" w:cstheme="minorHAnsi"/>
          <w:bCs/>
          <w:lang w:eastAsia="hr-HR"/>
        </w:rPr>
        <w:t>a</w:t>
      </w:r>
      <w:r w:rsidR="008100B5" w:rsidRPr="0091228A">
        <w:rPr>
          <w:rFonts w:eastAsia="Times New Roman" w:cstheme="minorHAnsi"/>
          <w:bCs/>
          <w:lang w:eastAsia="hr-HR"/>
        </w:rPr>
        <w:t xml:space="preserve"> županijsk</w:t>
      </w:r>
      <w:r w:rsidR="0021472A">
        <w:rPr>
          <w:rFonts w:eastAsia="Times New Roman" w:cstheme="minorHAnsi"/>
          <w:bCs/>
          <w:lang w:eastAsia="hr-HR"/>
        </w:rPr>
        <w:t>a</w:t>
      </w:r>
      <w:r w:rsidR="008100B5" w:rsidRPr="0091228A">
        <w:rPr>
          <w:rFonts w:eastAsia="Times New Roman" w:cstheme="minorHAnsi"/>
          <w:bCs/>
          <w:lang w:eastAsia="hr-HR"/>
        </w:rPr>
        <w:t xml:space="preserve"> i međužupanijsk</w:t>
      </w:r>
      <w:r w:rsidR="0021472A">
        <w:rPr>
          <w:rFonts w:eastAsia="Times New Roman" w:cstheme="minorHAnsi"/>
          <w:bCs/>
          <w:lang w:eastAsia="hr-HR"/>
        </w:rPr>
        <w:t>a</w:t>
      </w:r>
      <w:r w:rsidR="008100B5" w:rsidRPr="0091228A">
        <w:rPr>
          <w:rFonts w:eastAsia="Times New Roman" w:cstheme="minorHAnsi"/>
          <w:bCs/>
          <w:lang w:eastAsia="hr-HR"/>
        </w:rPr>
        <w:t xml:space="preserve"> infrastruktur</w:t>
      </w:r>
      <w:r w:rsidR="0021472A">
        <w:rPr>
          <w:rFonts w:eastAsia="Times New Roman" w:cstheme="minorHAnsi"/>
          <w:bCs/>
          <w:lang w:eastAsia="hr-HR"/>
        </w:rPr>
        <w:t>a</w:t>
      </w:r>
      <w:r w:rsidR="0021472A">
        <w:rPr>
          <w:rFonts w:cstheme="minorHAnsi"/>
          <w:bCs/>
        </w:rPr>
        <w:t>.</w:t>
      </w:r>
      <w:r w:rsidRPr="0091228A">
        <w:rPr>
          <w:rFonts w:cstheme="minorHAnsi"/>
          <w:bCs/>
        </w:rPr>
        <w:t xml:space="preserve"> </w:t>
      </w:r>
      <w:r w:rsidR="008100B5" w:rsidRPr="0091228A">
        <w:rPr>
          <w:rFonts w:cstheme="minorHAnsi"/>
          <w:bCs/>
        </w:rPr>
        <w:t xml:space="preserve"> </w:t>
      </w:r>
      <w:r w:rsidR="00B61833" w:rsidRPr="0091228A">
        <w:rPr>
          <w:rFonts w:cstheme="minorHAnsi"/>
          <w:bCs/>
        </w:rPr>
        <w:t xml:space="preserve">Potencijal je i u planiranim </w:t>
      </w:r>
      <w:r w:rsidR="008100B5" w:rsidRPr="0091228A">
        <w:rPr>
          <w:rFonts w:cstheme="minorHAnsi"/>
          <w:bCs/>
        </w:rPr>
        <w:t>infrastrukturn</w:t>
      </w:r>
      <w:r w:rsidRPr="0091228A">
        <w:rPr>
          <w:rFonts w:cstheme="minorHAnsi"/>
          <w:bCs/>
        </w:rPr>
        <w:t>im</w:t>
      </w:r>
      <w:r w:rsidR="008100B5" w:rsidRPr="0091228A">
        <w:rPr>
          <w:rFonts w:cstheme="minorHAnsi"/>
          <w:bCs/>
        </w:rPr>
        <w:t xml:space="preserve"> ulaganj</w:t>
      </w:r>
      <w:r w:rsidRPr="0091228A">
        <w:rPr>
          <w:rFonts w:cstheme="minorHAnsi"/>
          <w:bCs/>
        </w:rPr>
        <w:t>ima</w:t>
      </w:r>
      <w:r w:rsidR="008100B5" w:rsidRPr="0091228A">
        <w:rPr>
          <w:rFonts w:cstheme="minorHAnsi"/>
          <w:bCs/>
        </w:rPr>
        <w:t xml:space="preserve"> u Luku Slavonski Brod</w:t>
      </w:r>
      <w:r w:rsidRPr="0091228A">
        <w:rPr>
          <w:rFonts w:cstheme="minorHAnsi"/>
          <w:bCs/>
        </w:rPr>
        <w:t xml:space="preserve"> te u</w:t>
      </w:r>
      <w:r w:rsidR="008100B5" w:rsidRPr="0091228A">
        <w:rPr>
          <w:rFonts w:cstheme="minorHAnsi"/>
          <w:bCs/>
        </w:rPr>
        <w:t xml:space="preserve"> </w:t>
      </w:r>
      <w:r w:rsidR="008100B5" w:rsidRPr="0091228A">
        <w:rPr>
          <w:rFonts w:cstheme="minorHAnsi"/>
          <w:lang w:eastAsia="hr-HR"/>
        </w:rPr>
        <w:t>ulaganj</w:t>
      </w:r>
      <w:r w:rsidRPr="0091228A">
        <w:rPr>
          <w:rFonts w:cstheme="minorHAnsi"/>
          <w:lang w:eastAsia="hr-HR"/>
        </w:rPr>
        <w:t>ima</w:t>
      </w:r>
      <w:r w:rsidR="008100B5" w:rsidRPr="0091228A">
        <w:rPr>
          <w:rFonts w:cstheme="minorHAnsi"/>
          <w:lang w:eastAsia="hr-HR"/>
        </w:rPr>
        <w:t xml:space="preserve"> u internetsku širokopojasnu  infrastrukturu za digitalno društvo</w:t>
      </w:r>
      <w:r w:rsidRPr="0091228A">
        <w:rPr>
          <w:rFonts w:cstheme="minorHAnsi"/>
          <w:lang w:eastAsia="hr-HR"/>
        </w:rPr>
        <w:t>.</w:t>
      </w:r>
      <w:r w:rsidR="008100B5" w:rsidRPr="0091228A">
        <w:rPr>
          <w:rFonts w:cstheme="minorHAnsi"/>
          <w:lang w:eastAsia="hr-HR"/>
        </w:rPr>
        <w:t xml:space="preserve"> </w:t>
      </w:r>
      <w:r w:rsidR="00B61833" w:rsidRPr="0091228A">
        <w:rPr>
          <w:rFonts w:cstheme="minorHAnsi"/>
          <w:lang w:eastAsia="hr-HR"/>
        </w:rPr>
        <w:t xml:space="preserve">Značajan potencijal je i u </w:t>
      </w:r>
      <w:r w:rsidR="008100B5" w:rsidRPr="0091228A">
        <w:rPr>
          <w:rFonts w:eastAsia="Times New Roman" w:cstheme="minorHAnsi"/>
          <w:lang w:eastAsia="hr-HR"/>
        </w:rPr>
        <w:t>daljnje</w:t>
      </w:r>
      <w:r w:rsidR="00B61833" w:rsidRPr="0091228A">
        <w:rPr>
          <w:rFonts w:eastAsia="Times New Roman" w:cstheme="minorHAnsi"/>
          <w:lang w:eastAsia="hr-HR"/>
        </w:rPr>
        <w:t>m</w:t>
      </w:r>
      <w:r w:rsidR="008100B5" w:rsidRPr="0091228A">
        <w:rPr>
          <w:rFonts w:eastAsia="Times New Roman" w:cstheme="minorHAnsi"/>
          <w:lang w:eastAsia="hr-HR"/>
        </w:rPr>
        <w:t xml:space="preserve"> razvoj</w:t>
      </w:r>
      <w:r w:rsidR="00B61833" w:rsidRPr="0091228A">
        <w:rPr>
          <w:rFonts w:eastAsia="Times New Roman" w:cstheme="minorHAnsi"/>
          <w:lang w:eastAsia="hr-HR"/>
        </w:rPr>
        <w:t>u</w:t>
      </w:r>
      <w:r w:rsidR="008100B5" w:rsidRPr="0091228A">
        <w:rPr>
          <w:rFonts w:eastAsia="Times New Roman" w:cstheme="minorHAnsi"/>
          <w:lang w:eastAsia="hr-HR"/>
        </w:rPr>
        <w:t xml:space="preserve"> kontejnersko</w:t>
      </w:r>
      <w:r w:rsidR="00B61833" w:rsidRPr="0091228A">
        <w:rPr>
          <w:rFonts w:eastAsia="Times New Roman" w:cstheme="minorHAnsi"/>
          <w:lang w:eastAsia="hr-HR"/>
        </w:rPr>
        <w:t>g</w:t>
      </w:r>
      <w:r w:rsidR="008100B5" w:rsidRPr="0091228A">
        <w:rPr>
          <w:rFonts w:eastAsia="Times New Roman" w:cstheme="minorHAnsi"/>
          <w:lang w:eastAsia="hr-HR"/>
        </w:rPr>
        <w:t xml:space="preserve"> promet</w:t>
      </w:r>
      <w:r w:rsidR="00B61833" w:rsidRPr="0091228A">
        <w:rPr>
          <w:rFonts w:eastAsia="Times New Roman" w:cstheme="minorHAnsi"/>
          <w:lang w:eastAsia="hr-HR"/>
        </w:rPr>
        <w:t>a</w:t>
      </w:r>
      <w:r w:rsidR="008100B5" w:rsidRPr="0091228A">
        <w:rPr>
          <w:rFonts w:cstheme="minorHAnsi"/>
          <w:lang w:eastAsia="hr-HR"/>
        </w:rPr>
        <w:t xml:space="preserve"> i </w:t>
      </w:r>
      <w:r w:rsidR="00B61833" w:rsidRPr="0091228A">
        <w:rPr>
          <w:rFonts w:cstheme="minorHAnsi"/>
          <w:lang w:eastAsia="hr-HR"/>
        </w:rPr>
        <w:t xml:space="preserve">u </w:t>
      </w:r>
      <w:r w:rsidR="008100B5" w:rsidRPr="0091228A">
        <w:rPr>
          <w:rFonts w:eastAsia="Times New Roman" w:cstheme="minorHAnsi"/>
          <w:lang w:eastAsia="hr-HR"/>
        </w:rPr>
        <w:t>intermodalno</w:t>
      </w:r>
      <w:r w:rsidR="00B61833" w:rsidRPr="0091228A">
        <w:rPr>
          <w:rFonts w:eastAsia="Times New Roman" w:cstheme="minorHAnsi"/>
          <w:lang w:eastAsia="hr-HR"/>
        </w:rPr>
        <w:t>m</w:t>
      </w:r>
      <w:r w:rsidR="008100B5" w:rsidRPr="0091228A">
        <w:rPr>
          <w:rFonts w:eastAsia="Times New Roman" w:cstheme="minorHAnsi"/>
          <w:lang w:eastAsia="hr-HR"/>
        </w:rPr>
        <w:t xml:space="preserve"> transport</w:t>
      </w:r>
      <w:r w:rsidR="00B61833" w:rsidRPr="0091228A">
        <w:rPr>
          <w:rFonts w:eastAsia="Times New Roman" w:cstheme="minorHAnsi"/>
          <w:lang w:eastAsia="hr-HR"/>
        </w:rPr>
        <w:t>u</w:t>
      </w:r>
      <w:r w:rsidR="008100B5" w:rsidRPr="0091228A">
        <w:rPr>
          <w:rFonts w:eastAsia="Times New Roman" w:cstheme="minorHAnsi"/>
          <w:lang w:eastAsia="hr-HR"/>
        </w:rPr>
        <w:t xml:space="preserve">. Također, razvojni potencijal </w:t>
      </w:r>
      <w:r w:rsidR="00D458E3" w:rsidRPr="0091228A">
        <w:rPr>
          <w:rFonts w:eastAsia="Times New Roman" w:cstheme="minorHAnsi"/>
          <w:lang w:eastAsia="hr-HR"/>
        </w:rPr>
        <w:t>d</w:t>
      </w:r>
      <w:r w:rsidRPr="0091228A">
        <w:rPr>
          <w:rFonts w:eastAsia="Times New Roman" w:cstheme="minorHAnsi"/>
          <w:lang w:eastAsia="hr-HR"/>
        </w:rPr>
        <w:t>olazi do izražaja</w:t>
      </w:r>
      <w:r w:rsidR="008100B5" w:rsidRPr="0091228A">
        <w:rPr>
          <w:rFonts w:eastAsia="Times New Roman" w:cstheme="minorHAnsi"/>
          <w:lang w:eastAsia="hr-HR"/>
        </w:rPr>
        <w:t xml:space="preserve"> </w:t>
      </w:r>
      <w:r w:rsidR="008100B5" w:rsidRPr="0091228A">
        <w:rPr>
          <w:rFonts w:cstheme="minorHAnsi"/>
          <w:lang w:eastAsia="hr-HR"/>
        </w:rPr>
        <w:t>u izgradnji novih i uređenj</w:t>
      </w:r>
      <w:r w:rsidRPr="0091228A">
        <w:rPr>
          <w:rFonts w:cstheme="minorHAnsi"/>
          <w:lang w:eastAsia="hr-HR"/>
        </w:rPr>
        <w:t>u</w:t>
      </w:r>
      <w:r w:rsidR="008100B5" w:rsidRPr="0091228A">
        <w:rPr>
          <w:rFonts w:cstheme="minorHAnsi"/>
          <w:lang w:eastAsia="hr-HR"/>
        </w:rPr>
        <w:t xml:space="preserve"> postojećih biciklistički</w:t>
      </w:r>
      <w:r w:rsidRPr="0091228A">
        <w:rPr>
          <w:rFonts w:cstheme="minorHAnsi"/>
          <w:lang w:eastAsia="hr-HR"/>
        </w:rPr>
        <w:t>h</w:t>
      </w:r>
      <w:r w:rsidR="008100B5" w:rsidRPr="0091228A">
        <w:rPr>
          <w:rFonts w:cstheme="minorHAnsi"/>
          <w:lang w:eastAsia="hr-HR"/>
        </w:rPr>
        <w:t xml:space="preserve"> </w:t>
      </w:r>
      <w:r w:rsidRPr="0091228A">
        <w:rPr>
          <w:rFonts w:cstheme="minorHAnsi"/>
          <w:lang w:eastAsia="hr-HR"/>
        </w:rPr>
        <w:t>staza</w:t>
      </w:r>
      <w:r w:rsidR="008100B5" w:rsidRPr="0091228A">
        <w:rPr>
          <w:rFonts w:cstheme="minorHAnsi"/>
          <w:lang w:eastAsia="hr-HR"/>
        </w:rPr>
        <w:t xml:space="preserve"> s popratnim sadržajima.</w:t>
      </w:r>
    </w:p>
    <w:p w14:paraId="2A0F4D54" w14:textId="7C8F5B5E" w:rsidR="008100B5" w:rsidRPr="0091228A" w:rsidRDefault="00D00594" w:rsidP="008100B5">
      <w:pPr>
        <w:jc w:val="both"/>
        <w:rPr>
          <w:rFonts w:cstheme="minorHAnsi"/>
        </w:rPr>
      </w:pPr>
      <w:r w:rsidRPr="00502EED">
        <w:rPr>
          <w:rFonts w:cstheme="minorHAnsi"/>
          <w:b/>
          <w:bCs/>
          <w:u w:val="single"/>
        </w:rPr>
        <w:t>U području upravljanja razvojem</w:t>
      </w:r>
      <w:r w:rsidRPr="0091228A">
        <w:rPr>
          <w:rFonts w:cstheme="minorHAnsi"/>
        </w:rPr>
        <w:t xml:space="preserve"> postoji </w:t>
      </w:r>
      <w:r w:rsidR="0049713A" w:rsidRPr="0091228A">
        <w:rPr>
          <w:rFonts w:cstheme="minorHAnsi"/>
        </w:rPr>
        <w:t xml:space="preserve">potencijal </w:t>
      </w:r>
      <w:r w:rsidR="008100B5" w:rsidRPr="0091228A">
        <w:rPr>
          <w:rFonts w:cstheme="minorHAnsi"/>
        </w:rPr>
        <w:t>za zeleni razvoj i rast, razvoj zelenog gospodarstva te za razvoj ruralnog turizma</w:t>
      </w:r>
      <w:r w:rsidR="00B61833" w:rsidRPr="0091228A">
        <w:rPr>
          <w:rFonts w:cstheme="minorHAnsi"/>
        </w:rPr>
        <w:t xml:space="preserve">. </w:t>
      </w:r>
      <w:r w:rsidR="00424240" w:rsidRPr="0091228A">
        <w:rPr>
          <w:rFonts w:cstheme="minorHAnsi"/>
          <w:bCs/>
        </w:rPr>
        <w:t xml:space="preserve">Potencijal je vidljiv i u postojećim </w:t>
      </w:r>
      <w:r w:rsidR="008100B5" w:rsidRPr="0091228A">
        <w:rPr>
          <w:rFonts w:cstheme="minorHAnsi"/>
          <w:bCs/>
        </w:rPr>
        <w:t xml:space="preserve"> sposobnosti</w:t>
      </w:r>
      <w:r w:rsidR="00424240" w:rsidRPr="0091228A">
        <w:rPr>
          <w:rFonts w:cstheme="minorHAnsi"/>
          <w:bCs/>
        </w:rPr>
        <w:t>ma</w:t>
      </w:r>
      <w:r w:rsidR="008100B5" w:rsidRPr="0091228A">
        <w:rPr>
          <w:rFonts w:cstheme="minorHAnsi"/>
          <w:bCs/>
        </w:rPr>
        <w:t xml:space="preserve">, </w:t>
      </w:r>
      <w:r w:rsidR="00B61833" w:rsidRPr="0091228A">
        <w:rPr>
          <w:rFonts w:cstheme="minorHAnsi"/>
          <w:bCs/>
        </w:rPr>
        <w:t>znanjima</w:t>
      </w:r>
      <w:r w:rsidR="008100B5" w:rsidRPr="0091228A">
        <w:rPr>
          <w:rFonts w:cstheme="minorHAnsi"/>
          <w:bCs/>
        </w:rPr>
        <w:t>, vještin</w:t>
      </w:r>
      <w:r w:rsidR="00424240" w:rsidRPr="0091228A">
        <w:rPr>
          <w:rFonts w:cstheme="minorHAnsi"/>
          <w:bCs/>
        </w:rPr>
        <w:t>ama</w:t>
      </w:r>
      <w:r w:rsidR="008100B5" w:rsidRPr="0091228A">
        <w:rPr>
          <w:rFonts w:cstheme="minorHAnsi"/>
          <w:bCs/>
        </w:rPr>
        <w:t>, iskustv</w:t>
      </w:r>
      <w:r w:rsidR="00424240" w:rsidRPr="0091228A">
        <w:rPr>
          <w:rFonts w:cstheme="minorHAnsi"/>
          <w:bCs/>
        </w:rPr>
        <w:t>u</w:t>
      </w:r>
      <w:r w:rsidR="008100B5" w:rsidRPr="0091228A">
        <w:rPr>
          <w:rFonts w:cstheme="minorHAnsi"/>
          <w:bCs/>
        </w:rPr>
        <w:t xml:space="preserve"> i dosadašnji</w:t>
      </w:r>
      <w:r w:rsidR="00424240" w:rsidRPr="0091228A">
        <w:rPr>
          <w:rFonts w:cstheme="minorHAnsi"/>
          <w:bCs/>
        </w:rPr>
        <w:t>m</w:t>
      </w:r>
      <w:r w:rsidR="008100B5" w:rsidRPr="0091228A">
        <w:rPr>
          <w:rFonts w:cstheme="minorHAnsi"/>
          <w:bCs/>
        </w:rPr>
        <w:t xml:space="preserve"> rezultati</w:t>
      </w:r>
      <w:r w:rsidR="00424240" w:rsidRPr="0091228A">
        <w:rPr>
          <w:rFonts w:cstheme="minorHAnsi"/>
          <w:bCs/>
        </w:rPr>
        <w:t>ma</w:t>
      </w:r>
      <w:r w:rsidR="008100B5" w:rsidRPr="0091228A">
        <w:rPr>
          <w:rFonts w:cstheme="minorHAnsi"/>
          <w:bCs/>
        </w:rPr>
        <w:t xml:space="preserve"> </w:t>
      </w:r>
      <w:r w:rsidR="008100B5" w:rsidRPr="0091228A">
        <w:rPr>
          <w:rFonts w:cstheme="minorHAnsi"/>
        </w:rPr>
        <w:t xml:space="preserve">regionalnog koordinatora </w:t>
      </w:r>
      <w:r w:rsidR="00424240" w:rsidRPr="0091228A">
        <w:rPr>
          <w:rFonts w:cstheme="minorHAnsi"/>
        </w:rPr>
        <w:t xml:space="preserve">prilikom provedbe </w:t>
      </w:r>
      <w:r w:rsidR="008100B5" w:rsidRPr="0091228A">
        <w:rPr>
          <w:rFonts w:cstheme="minorHAnsi"/>
        </w:rPr>
        <w:t xml:space="preserve"> razvojni</w:t>
      </w:r>
      <w:r w:rsidR="00424240" w:rsidRPr="0091228A">
        <w:rPr>
          <w:rFonts w:cstheme="minorHAnsi"/>
        </w:rPr>
        <w:t>h</w:t>
      </w:r>
      <w:r w:rsidR="008100B5" w:rsidRPr="0091228A">
        <w:rPr>
          <w:rFonts w:cstheme="minorHAnsi"/>
        </w:rPr>
        <w:t xml:space="preserve"> projek</w:t>
      </w:r>
      <w:r w:rsidR="00424240" w:rsidRPr="0091228A">
        <w:rPr>
          <w:rFonts w:cstheme="minorHAnsi"/>
        </w:rPr>
        <w:t>ata</w:t>
      </w:r>
      <w:r w:rsidR="008100B5" w:rsidRPr="0091228A">
        <w:rPr>
          <w:rFonts w:cstheme="minorHAnsi"/>
        </w:rPr>
        <w:t xml:space="preserve">. Potencijal za unapređenje upravljanja je </w:t>
      </w:r>
      <w:r w:rsidR="00424240" w:rsidRPr="0091228A">
        <w:rPr>
          <w:rFonts w:cstheme="minorHAnsi"/>
        </w:rPr>
        <w:t xml:space="preserve">i </w:t>
      </w:r>
      <w:r w:rsidR="008100B5" w:rsidRPr="0091228A">
        <w:rPr>
          <w:rFonts w:cstheme="minorHAnsi"/>
        </w:rPr>
        <w:t xml:space="preserve">dosadašnja </w:t>
      </w:r>
      <w:r w:rsidR="008100B5" w:rsidRPr="0091228A">
        <w:rPr>
          <w:rFonts w:cstheme="minorHAnsi"/>
          <w:bCs/>
        </w:rPr>
        <w:t>dobra  povezanost i suradnja županijskih tijela, regionalnog koordinatora i JLS-ova te dobra suradnja s tijelima državne uprave</w:t>
      </w:r>
      <w:r w:rsidR="008100B5" w:rsidRPr="0091228A">
        <w:rPr>
          <w:rFonts w:cstheme="minorHAnsi"/>
        </w:rPr>
        <w:t xml:space="preserve"> </w:t>
      </w:r>
      <w:r w:rsidR="0049713A">
        <w:rPr>
          <w:rFonts w:cstheme="minorHAnsi"/>
        </w:rPr>
        <w:t>te</w:t>
      </w:r>
      <w:r w:rsidR="008100B5" w:rsidRPr="0091228A">
        <w:rPr>
          <w:rFonts w:cstheme="minorHAnsi"/>
        </w:rPr>
        <w:t xml:space="preserve"> s drugim županijama. Razvijena je i međunarodna suradnja u pripremi i provedbi razvojnih projekata.</w:t>
      </w:r>
    </w:p>
    <w:p w14:paraId="7D7029C3" w14:textId="7F8B6FAE" w:rsidR="008100B5" w:rsidRPr="0091228A" w:rsidRDefault="00424240" w:rsidP="008100B5">
      <w:pPr>
        <w:jc w:val="both"/>
        <w:rPr>
          <w:rFonts w:cstheme="minorHAnsi"/>
          <w:iCs/>
        </w:rPr>
      </w:pPr>
      <w:r w:rsidRPr="0091228A">
        <w:rPr>
          <w:rFonts w:cstheme="minorHAnsi"/>
        </w:rPr>
        <w:lastRenderedPageBreak/>
        <w:t>Institucionalni p</w:t>
      </w:r>
      <w:r w:rsidR="008100B5" w:rsidRPr="0091228A">
        <w:rPr>
          <w:rFonts w:cstheme="minorHAnsi"/>
        </w:rPr>
        <w:t xml:space="preserve">otencijal značajan </w:t>
      </w:r>
      <w:r w:rsidR="0049713A">
        <w:rPr>
          <w:rFonts w:cstheme="minorHAnsi"/>
        </w:rPr>
        <w:t>je</w:t>
      </w:r>
      <w:r w:rsidRPr="0091228A">
        <w:rPr>
          <w:rFonts w:cstheme="minorHAnsi"/>
        </w:rPr>
        <w:t xml:space="preserve"> kad je riječ o stečenim </w:t>
      </w:r>
      <w:r w:rsidR="008100B5" w:rsidRPr="0091228A">
        <w:rPr>
          <w:rFonts w:cstheme="minorHAnsi"/>
        </w:rPr>
        <w:t>kapacitet</w:t>
      </w:r>
      <w:r w:rsidRPr="0091228A">
        <w:rPr>
          <w:rFonts w:cstheme="minorHAnsi"/>
        </w:rPr>
        <w:t>ima</w:t>
      </w:r>
      <w:r w:rsidR="008100B5" w:rsidRPr="0091228A">
        <w:rPr>
          <w:rFonts w:cstheme="minorHAnsi"/>
        </w:rPr>
        <w:t xml:space="preserve"> za pripremu i provedbu projekata financiranih iz fondova EU</w:t>
      </w:r>
      <w:r w:rsidR="0049713A">
        <w:rPr>
          <w:rFonts w:cstheme="minorHAnsi"/>
        </w:rPr>
        <w:t>-a</w:t>
      </w:r>
      <w:r w:rsidR="008100B5" w:rsidRPr="0091228A">
        <w:rPr>
          <w:rFonts w:cstheme="minorHAnsi"/>
        </w:rPr>
        <w:t>.</w:t>
      </w:r>
    </w:p>
    <w:p w14:paraId="21F68950" w14:textId="5ACC1F6A" w:rsidR="008100B5" w:rsidRPr="0091228A" w:rsidRDefault="008100B5" w:rsidP="008100B5">
      <w:pPr>
        <w:contextualSpacing/>
        <w:jc w:val="both"/>
        <w:rPr>
          <w:rFonts w:eastAsia="Times New Roman" w:cstheme="minorHAnsi"/>
          <w:lang w:eastAsia="hr-HR"/>
        </w:rPr>
      </w:pPr>
      <w:r w:rsidRPr="00502EED">
        <w:rPr>
          <w:rFonts w:cstheme="minorHAnsi"/>
          <w:b/>
          <w:bCs/>
          <w:iCs/>
          <w:u w:val="single"/>
        </w:rPr>
        <w:t xml:space="preserve">Potencijal </w:t>
      </w:r>
      <w:r w:rsidR="0092577E" w:rsidRPr="00502EED">
        <w:rPr>
          <w:rFonts w:cstheme="minorHAnsi"/>
          <w:b/>
          <w:bCs/>
          <w:iCs/>
          <w:u w:val="single"/>
        </w:rPr>
        <w:t xml:space="preserve">za daljnji razvoj </w:t>
      </w:r>
      <w:r w:rsidRPr="00502EED">
        <w:rPr>
          <w:rFonts w:cstheme="minorHAnsi"/>
          <w:b/>
          <w:bCs/>
          <w:iCs/>
          <w:u w:val="single"/>
        </w:rPr>
        <w:t>prostora Županije</w:t>
      </w:r>
      <w:r w:rsidR="007E789B" w:rsidRPr="0091228A">
        <w:rPr>
          <w:rFonts w:cstheme="minorHAnsi"/>
          <w:iCs/>
          <w:u w:val="single"/>
        </w:rPr>
        <w:t xml:space="preserve"> </w:t>
      </w:r>
      <w:r w:rsidR="006B1DCD">
        <w:rPr>
          <w:rFonts w:cstheme="minorHAnsi"/>
          <w:iCs/>
          <w:u w:val="single"/>
        </w:rPr>
        <w:t xml:space="preserve">ogleda se u </w:t>
      </w:r>
      <w:r w:rsidR="007E789B" w:rsidRPr="0091228A">
        <w:rPr>
          <w:rFonts w:cstheme="minorHAnsi"/>
          <w:iCs/>
          <w:u w:val="single"/>
        </w:rPr>
        <w:t>povolj</w:t>
      </w:r>
      <w:r w:rsidR="006B1DCD">
        <w:rPr>
          <w:rFonts w:cstheme="minorHAnsi"/>
          <w:iCs/>
          <w:u w:val="single"/>
        </w:rPr>
        <w:t>nom</w:t>
      </w:r>
      <w:r w:rsidR="0092577E" w:rsidRPr="0091228A">
        <w:rPr>
          <w:rFonts w:cstheme="minorHAnsi"/>
          <w:iCs/>
        </w:rPr>
        <w:t xml:space="preserve"> </w:t>
      </w:r>
      <w:r w:rsidRPr="0091228A">
        <w:rPr>
          <w:rFonts w:cstheme="minorHAnsi"/>
          <w:iCs/>
        </w:rPr>
        <w:t xml:space="preserve"> </w:t>
      </w:r>
      <w:r w:rsidRPr="0091228A">
        <w:rPr>
          <w:rFonts w:eastAsia="Times New Roman" w:cstheme="minorHAnsi"/>
          <w:bCs/>
          <w:lang w:eastAsia="hr-HR"/>
        </w:rPr>
        <w:t>geoprometn</w:t>
      </w:r>
      <w:r w:rsidR="006B1DCD">
        <w:rPr>
          <w:rFonts w:eastAsia="Times New Roman" w:cstheme="minorHAnsi"/>
          <w:bCs/>
          <w:lang w:eastAsia="hr-HR"/>
        </w:rPr>
        <w:t>om</w:t>
      </w:r>
      <w:r w:rsidR="0092577E" w:rsidRPr="0091228A">
        <w:rPr>
          <w:rFonts w:eastAsia="Times New Roman" w:cstheme="minorHAnsi"/>
          <w:bCs/>
          <w:lang w:eastAsia="hr-HR"/>
        </w:rPr>
        <w:t xml:space="preserve"> </w:t>
      </w:r>
      <w:r w:rsidRPr="0091228A">
        <w:rPr>
          <w:rFonts w:eastAsia="Times New Roman" w:cstheme="minorHAnsi"/>
          <w:bCs/>
          <w:lang w:eastAsia="hr-HR"/>
        </w:rPr>
        <w:t xml:space="preserve"> položaj</w:t>
      </w:r>
      <w:r w:rsidR="006B1DCD">
        <w:rPr>
          <w:rFonts w:eastAsia="Times New Roman" w:cstheme="minorHAnsi"/>
          <w:bCs/>
          <w:lang w:eastAsia="hr-HR"/>
        </w:rPr>
        <w:t>u</w:t>
      </w:r>
      <w:r w:rsidR="007E789B" w:rsidRPr="0091228A">
        <w:rPr>
          <w:rFonts w:eastAsia="Times New Roman" w:cstheme="minorHAnsi"/>
          <w:bCs/>
          <w:lang w:eastAsia="hr-HR"/>
        </w:rPr>
        <w:t xml:space="preserve"> kao </w:t>
      </w:r>
      <w:r w:rsidR="0092577E" w:rsidRPr="0091228A">
        <w:rPr>
          <w:rFonts w:eastAsia="Times New Roman" w:cstheme="minorHAnsi"/>
          <w:bCs/>
          <w:lang w:eastAsia="hr-HR"/>
        </w:rPr>
        <w:t xml:space="preserve">i u </w:t>
      </w:r>
      <w:r w:rsidR="00756B70" w:rsidRPr="0091228A">
        <w:rPr>
          <w:rFonts w:eastAsia="Times New Roman" w:cstheme="minorHAnsi"/>
          <w:bCs/>
          <w:lang w:eastAsia="hr-HR"/>
        </w:rPr>
        <w:t xml:space="preserve"> </w:t>
      </w:r>
      <w:r w:rsidRPr="0091228A">
        <w:rPr>
          <w:rFonts w:eastAsia="Times New Roman" w:cstheme="minorHAnsi"/>
          <w:bCs/>
          <w:lang w:eastAsia="hr-HR"/>
        </w:rPr>
        <w:t>značaj</w:t>
      </w:r>
      <w:r w:rsidR="0092577E" w:rsidRPr="0091228A">
        <w:rPr>
          <w:rFonts w:eastAsia="Times New Roman" w:cstheme="minorHAnsi"/>
          <w:bCs/>
          <w:lang w:eastAsia="hr-HR"/>
        </w:rPr>
        <w:t>nom udjelu</w:t>
      </w:r>
      <w:r w:rsidRPr="0091228A">
        <w:rPr>
          <w:rFonts w:eastAsia="Times New Roman" w:cstheme="minorHAnsi"/>
          <w:bCs/>
          <w:lang w:eastAsia="hr-HR"/>
        </w:rPr>
        <w:t xml:space="preserve"> v</w:t>
      </w:r>
      <w:r w:rsidR="007E789B" w:rsidRPr="0091228A">
        <w:rPr>
          <w:rFonts w:eastAsia="Times New Roman" w:cstheme="minorHAnsi"/>
          <w:bCs/>
          <w:lang w:eastAsia="hr-HR"/>
        </w:rPr>
        <w:t xml:space="preserve">rijednih </w:t>
      </w:r>
      <w:r w:rsidRPr="0091228A">
        <w:rPr>
          <w:rFonts w:eastAsia="Times New Roman" w:cstheme="minorHAnsi"/>
          <w:bCs/>
          <w:lang w:eastAsia="hr-HR"/>
        </w:rPr>
        <w:t>prirodnih prostora</w:t>
      </w:r>
      <w:r w:rsidR="007E789B" w:rsidRPr="0091228A">
        <w:rPr>
          <w:rFonts w:eastAsia="Times New Roman" w:cstheme="minorHAnsi"/>
          <w:bCs/>
          <w:lang w:eastAsia="hr-HR"/>
        </w:rPr>
        <w:t xml:space="preserve"> i</w:t>
      </w:r>
      <w:r w:rsidRPr="0091228A">
        <w:rPr>
          <w:rFonts w:eastAsia="Times New Roman" w:cstheme="minorHAnsi"/>
          <w:bCs/>
          <w:lang w:eastAsia="hr-HR"/>
        </w:rPr>
        <w:t xml:space="preserve"> gradskih središta</w:t>
      </w:r>
      <w:r w:rsidR="00756B70" w:rsidRPr="0091228A">
        <w:rPr>
          <w:rFonts w:eastAsia="Times New Roman" w:cstheme="minorHAnsi"/>
          <w:bCs/>
          <w:lang w:eastAsia="hr-HR"/>
        </w:rPr>
        <w:t xml:space="preserve"> te </w:t>
      </w:r>
      <w:r w:rsidRPr="0091228A">
        <w:rPr>
          <w:rFonts w:eastAsia="Times New Roman" w:cstheme="minorHAnsi"/>
          <w:bCs/>
          <w:lang w:eastAsia="hr-HR"/>
        </w:rPr>
        <w:t xml:space="preserve"> </w:t>
      </w:r>
      <w:r w:rsidR="0092577E" w:rsidRPr="0091228A">
        <w:rPr>
          <w:rFonts w:eastAsia="Times New Roman" w:cstheme="minorHAnsi"/>
          <w:bCs/>
          <w:lang w:eastAsia="hr-HR"/>
        </w:rPr>
        <w:t xml:space="preserve">u </w:t>
      </w:r>
      <w:r w:rsidRPr="0091228A">
        <w:rPr>
          <w:rFonts w:eastAsia="Times New Roman" w:cstheme="minorHAnsi"/>
          <w:bCs/>
          <w:lang w:eastAsia="hr-HR"/>
        </w:rPr>
        <w:t>raspoloživost</w:t>
      </w:r>
      <w:r w:rsidR="0092577E" w:rsidRPr="0091228A">
        <w:rPr>
          <w:rFonts w:eastAsia="Times New Roman" w:cstheme="minorHAnsi"/>
          <w:bCs/>
          <w:lang w:eastAsia="hr-HR"/>
        </w:rPr>
        <w:t xml:space="preserve">i </w:t>
      </w:r>
      <w:r w:rsidRPr="0091228A">
        <w:rPr>
          <w:rFonts w:eastAsia="Times New Roman" w:cstheme="minorHAnsi"/>
          <w:bCs/>
          <w:lang w:eastAsia="hr-HR"/>
        </w:rPr>
        <w:t xml:space="preserve"> zemljišnog i šumskog prostora. Također, potencijal predstavljaju  planirani dovoljni prostorni kapaciteti za razvoj naselja i gospodarstva,</w:t>
      </w:r>
      <w:r w:rsidRPr="0091228A">
        <w:rPr>
          <w:rFonts w:eastAsia="Times New Roman" w:cstheme="minorHAnsi"/>
          <w:lang w:eastAsia="hr-HR"/>
        </w:rPr>
        <w:t xml:space="preserve"> izrada planova urbane sanacije i revitalizacija </w:t>
      </w:r>
      <w:r w:rsidRPr="0091228A">
        <w:rPr>
          <w:rFonts w:eastAsia="Times New Roman" w:cstheme="minorHAnsi"/>
          <w:i/>
          <w:lang w:eastAsia="hr-HR"/>
        </w:rPr>
        <w:t>brownfield</w:t>
      </w:r>
      <w:r w:rsidRPr="0091228A">
        <w:rPr>
          <w:rFonts w:eastAsia="Times New Roman" w:cstheme="minorHAnsi"/>
          <w:lang w:eastAsia="hr-HR"/>
        </w:rPr>
        <w:t xml:space="preserve"> prostora. </w:t>
      </w:r>
      <w:r w:rsidR="006B1DCD">
        <w:rPr>
          <w:rFonts w:eastAsia="Times New Roman" w:cstheme="minorHAnsi"/>
          <w:lang w:eastAsia="hr-HR"/>
        </w:rPr>
        <w:t>Značajan je i r</w:t>
      </w:r>
      <w:r w:rsidRPr="0091228A">
        <w:rPr>
          <w:rFonts w:eastAsia="Times New Roman" w:cstheme="minorHAnsi"/>
          <w:lang w:eastAsia="hr-HR"/>
        </w:rPr>
        <w:t>azvojn</w:t>
      </w:r>
      <w:r w:rsidR="00756B70" w:rsidRPr="0091228A">
        <w:rPr>
          <w:rFonts w:eastAsia="Times New Roman" w:cstheme="minorHAnsi"/>
          <w:lang w:eastAsia="hr-HR"/>
        </w:rPr>
        <w:t>i</w:t>
      </w:r>
      <w:r w:rsidRPr="0091228A">
        <w:rPr>
          <w:rFonts w:eastAsia="Times New Roman" w:cstheme="minorHAnsi"/>
          <w:lang w:eastAsia="hr-HR"/>
        </w:rPr>
        <w:t xml:space="preserve"> potencijal</w:t>
      </w:r>
      <w:r w:rsidR="00756B70" w:rsidRPr="0091228A">
        <w:rPr>
          <w:rFonts w:eastAsia="Times New Roman" w:cstheme="minorHAnsi"/>
          <w:lang w:eastAsia="hr-HR"/>
        </w:rPr>
        <w:t xml:space="preserve">  </w:t>
      </w:r>
      <w:r w:rsidRPr="0091228A">
        <w:rPr>
          <w:rFonts w:eastAsia="Times New Roman" w:cstheme="minorHAnsi"/>
          <w:lang w:eastAsia="hr-HR"/>
        </w:rPr>
        <w:t xml:space="preserve"> </w:t>
      </w:r>
      <w:r w:rsidR="006B1DCD">
        <w:rPr>
          <w:rFonts w:eastAsia="Times New Roman" w:cstheme="minorHAnsi"/>
          <w:lang w:eastAsia="hr-HR"/>
        </w:rPr>
        <w:t xml:space="preserve">koji se odnosi na </w:t>
      </w:r>
      <w:r w:rsidRPr="0091228A">
        <w:rPr>
          <w:rFonts w:eastAsia="Times New Roman" w:cstheme="minorHAnsi"/>
          <w:lang w:eastAsia="hr-HR"/>
        </w:rPr>
        <w:t>razvoj gradova i općinskih središta</w:t>
      </w:r>
      <w:r w:rsidR="00756B70" w:rsidRPr="0091228A">
        <w:rPr>
          <w:rFonts w:eastAsia="Times New Roman" w:cstheme="minorHAnsi"/>
          <w:lang w:eastAsia="hr-HR"/>
        </w:rPr>
        <w:t xml:space="preserve">, </w:t>
      </w:r>
      <w:r w:rsidRPr="0091228A">
        <w:rPr>
          <w:rFonts w:eastAsia="Times New Roman" w:cstheme="minorHAnsi"/>
          <w:lang w:eastAsia="hr-HR"/>
        </w:rPr>
        <w:t>uređenj</w:t>
      </w:r>
      <w:r w:rsidR="006B1DCD">
        <w:rPr>
          <w:rFonts w:eastAsia="Times New Roman" w:cstheme="minorHAnsi"/>
          <w:lang w:eastAsia="hr-HR"/>
        </w:rPr>
        <w:t>e</w:t>
      </w:r>
      <w:r w:rsidRPr="0091228A">
        <w:rPr>
          <w:rFonts w:eastAsia="Times New Roman" w:cstheme="minorHAnsi"/>
          <w:lang w:eastAsia="hr-HR"/>
        </w:rPr>
        <w:t xml:space="preserve"> ruralnih naselja kao prostora za kvalitetan život i </w:t>
      </w:r>
      <w:r w:rsidR="00756B70" w:rsidRPr="0091228A">
        <w:rPr>
          <w:rFonts w:eastAsia="Times New Roman" w:cstheme="minorHAnsi"/>
          <w:lang w:eastAsia="hr-HR"/>
        </w:rPr>
        <w:t xml:space="preserve">razvoj </w:t>
      </w:r>
      <w:r w:rsidRPr="0091228A">
        <w:rPr>
          <w:rFonts w:eastAsia="Times New Roman" w:cstheme="minorHAnsi"/>
          <w:lang w:eastAsia="hr-HR"/>
        </w:rPr>
        <w:t>održivo</w:t>
      </w:r>
      <w:r w:rsidR="00756B70" w:rsidRPr="0091228A">
        <w:rPr>
          <w:rFonts w:eastAsia="Times New Roman" w:cstheme="minorHAnsi"/>
          <w:lang w:eastAsia="hr-HR"/>
        </w:rPr>
        <w:t>g</w:t>
      </w:r>
      <w:r w:rsidRPr="0091228A">
        <w:rPr>
          <w:rFonts w:eastAsia="Times New Roman" w:cstheme="minorHAnsi"/>
          <w:lang w:eastAsia="hr-HR"/>
        </w:rPr>
        <w:t xml:space="preserve"> gospodarstv</w:t>
      </w:r>
      <w:r w:rsidR="00756B70" w:rsidRPr="0091228A">
        <w:rPr>
          <w:rFonts w:eastAsia="Times New Roman" w:cstheme="minorHAnsi"/>
          <w:lang w:eastAsia="hr-HR"/>
        </w:rPr>
        <w:t xml:space="preserve">a. Također, </w:t>
      </w:r>
      <w:r w:rsidR="00D040A9">
        <w:rPr>
          <w:rFonts w:eastAsia="Times New Roman" w:cstheme="minorHAnsi"/>
          <w:lang w:eastAsia="hr-HR"/>
        </w:rPr>
        <w:t xml:space="preserve">očituje se i u </w:t>
      </w:r>
      <w:r w:rsidRPr="0091228A">
        <w:rPr>
          <w:rFonts w:eastAsia="Times New Roman" w:cstheme="minorHAnsi"/>
          <w:lang w:eastAsia="hr-HR"/>
        </w:rPr>
        <w:t>održivo</w:t>
      </w:r>
      <w:r w:rsidR="00D040A9">
        <w:rPr>
          <w:rFonts w:eastAsia="Times New Roman" w:cstheme="minorHAnsi"/>
          <w:lang w:eastAsia="hr-HR"/>
        </w:rPr>
        <w:t>m</w:t>
      </w:r>
      <w:r w:rsidRPr="0091228A">
        <w:rPr>
          <w:rFonts w:eastAsia="Times New Roman" w:cstheme="minorHAnsi"/>
          <w:lang w:eastAsia="hr-HR"/>
        </w:rPr>
        <w:t xml:space="preserve"> korištenj</w:t>
      </w:r>
      <w:r w:rsidR="00D040A9">
        <w:rPr>
          <w:rFonts w:eastAsia="Times New Roman" w:cstheme="minorHAnsi"/>
          <w:lang w:eastAsia="hr-HR"/>
        </w:rPr>
        <w:t>u</w:t>
      </w:r>
      <w:r w:rsidRPr="0091228A">
        <w:rPr>
          <w:rFonts w:eastAsia="Times New Roman" w:cstheme="minorHAnsi"/>
          <w:lang w:eastAsia="hr-HR"/>
        </w:rPr>
        <w:t xml:space="preserve"> prirodnih vrijednosti i kulturne baštine kao turističke atrakcijske osnove Županije te </w:t>
      </w:r>
      <w:r w:rsidR="00756B70" w:rsidRPr="0091228A">
        <w:rPr>
          <w:rFonts w:eastAsia="Times New Roman" w:cstheme="minorHAnsi"/>
          <w:lang w:eastAsia="hr-HR"/>
        </w:rPr>
        <w:t xml:space="preserve">kroz </w:t>
      </w:r>
      <w:r w:rsidRPr="0091228A">
        <w:rPr>
          <w:rFonts w:eastAsia="Times New Roman" w:cstheme="minorHAnsi"/>
          <w:lang w:eastAsia="hr-HR"/>
        </w:rPr>
        <w:t>proaktivan stav prema klimatskim promjenama i ugradnj</w:t>
      </w:r>
      <w:r w:rsidR="00756B70" w:rsidRPr="0091228A">
        <w:rPr>
          <w:rFonts w:eastAsia="Times New Roman" w:cstheme="minorHAnsi"/>
          <w:lang w:eastAsia="hr-HR"/>
        </w:rPr>
        <w:t>i</w:t>
      </w:r>
      <w:r w:rsidRPr="0091228A">
        <w:rPr>
          <w:rFonts w:eastAsia="Times New Roman" w:cstheme="minorHAnsi"/>
          <w:lang w:eastAsia="hr-HR"/>
        </w:rPr>
        <w:t xml:space="preserve"> mjera prilagodbe u prostorne planove.</w:t>
      </w:r>
    </w:p>
    <w:p w14:paraId="79D2FBC6" w14:textId="18D8DF90" w:rsidR="00A92F9B" w:rsidRPr="001166C1" w:rsidRDefault="00A92F9B" w:rsidP="002447FC">
      <w:pPr>
        <w:pStyle w:val="Naslov1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12" w:name="_Toc84938283"/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OPIS PRIORITETA JAVNIH POLITIKA U SREDNJOROČNOM RAZDOBLJU</w:t>
      </w:r>
      <w:bookmarkEnd w:id="12"/>
    </w:p>
    <w:p w14:paraId="3B824EA1" w14:textId="56E76783" w:rsidR="00D80492" w:rsidRPr="0091228A" w:rsidRDefault="001A5E0D" w:rsidP="007E789B">
      <w:pPr>
        <w:jc w:val="both"/>
        <w:rPr>
          <w:rFonts w:cstheme="minorHAnsi"/>
        </w:rPr>
      </w:pPr>
      <w:r w:rsidRPr="0091228A">
        <w:rPr>
          <w:rFonts w:cstheme="minorHAnsi"/>
        </w:rPr>
        <w:t>Analizom srednjoročnih razvojnih potreba i razvojnih potencijala</w:t>
      </w:r>
      <w:r w:rsidR="00756B70" w:rsidRPr="0091228A">
        <w:rPr>
          <w:rFonts w:cstheme="minorHAnsi"/>
        </w:rPr>
        <w:t xml:space="preserve"> utvrđena </w:t>
      </w:r>
      <w:r w:rsidRPr="0091228A">
        <w:rPr>
          <w:rFonts w:cstheme="minorHAnsi"/>
        </w:rPr>
        <w:t xml:space="preserve">su </w:t>
      </w:r>
      <w:r w:rsidR="00756B70" w:rsidRPr="0091228A">
        <w:rPr>
          <w:rFonts w:cstheme="minorHAnsi"/>
        </w:rPr>
        <w:t>sljedeća</w:t>
      </w:r>
      <w:r w:rsidRPr="0091228A">
        <w:rPr>
          <w:rFonts w:cstheme="minorHAnsi"/>
        </w:rPr>
        <w:t xml:space="preserve"> četiri prioritetna područja u okviru kojih će dionici razvoja BPŽ</w:t>
      </w:r>
      <w:r w:rsidR="004E1554">
        <w:rPr>
          <w:rFonts w:cstheme="minorHAnsi"/>
        </w:rPr>
        <w:t>-a</w:t>
      </w:r>
      <w:r w:rsidRPr="0091228A">
        <w:rPr>
          <w:rFonts w:cstheme="minorHAnsi"/>
        </w:rPr>
        <w:t xml:space="preserve"> težiti unapređenju postojećeg stanja u sljedećem srednjoročnom razdoblju:</w:t>
      </w:r>
    </w:p>
    <w:p w14:paraId="110F3941" w14:textId="77777777" w:rsidR="004A2F34" w:rsidRPr="0091228A" w:rsidRDefault="003936BF" w:rsidP="007510FD">
      <w:pPr>
        <w:ind w:left="708"/>
        <w:rPr>
          <w:rFonts w:cstheme="minorHAnsi"/>
        </w:rPr>
      </w:pPr>
      <w:r w:rsidRPr="00C5234C">
        <w:rPr>
          <w:rFonts w:cstheme="minorHAnsi"/>
          <w:b/>
        </w:rPr>
        <w:t>Prioritet 1</w:t>
      </w:r>
      <w:r w:rsidRPr="0091228A">
        <w:rPr>
          <w:rFonts w:cstheme="minorHAnsi"/>
        </w:rPr>
        <w:t xml:space="preserve">. Razvoj konkurentnog i inovativnog gospodarstva  te rast zaposlenosti i stope obrazovanja </w:t>
      </w:r>
    </w:p>
    <w:p w14:paraId="10142006" w14:textId="12FDD726" w:rsidR="004A2F34" w:rsidRPr="0091228A" w:rsidRDefault="003936BF" w:rsidP="007510FD">
      <w:pPr>
        <w:ind w:left="708"/>
        <w:rPr>
          <w:rFonts w:cstheme="minorHAnsi"/>
        </w:rPr>
      </w:pPr>
      <w:r w:rsidRPr="00C5234C">
        <w:rPr>
          <w:rFonts w:cstheme="minorHAnsi"/>
          <w:b/>
        </w:rPr>
        <w:t>Prioritet 2</w:t>
      </w:r>
      <w:r w:rsidRPr="0091228A">
        <w:rPr>
          <w:rFonts w:cstheme="minorHAnsi"/>
        </w:rPr>
        <w:t>. Demografska revitalizacija</w:t>
      </w:r>
      <w:r w:rsidR="004E1554">
        <w:rPr>
          <w:rFonts w:cstheme="minorHAnsi"/>
        </w:rPr>
        <w:t>,</w:t>
      </w:r>
      <w:r w:rsidRPr="0091228A">
        <w:rPr>
          <w:rFonts w:cstheme="minorHAnsi"/>
        </w:rPr>
        <w:t xml:space="preserve">  kvalitetan život i sigurnost za stabilan razvoj </w:t>
      </w:r>
    </w:p>
    <w:p w14:paraId="6F1D3C80" w14:textId="77777777" w:rsidR="003936BF" w:rsidRPr="0091228A" w:rsidRDefault="003936BF" w:rsidP="007510FD">
      <w:pPr>
        <w:ind w:left="708"/>
        <w:rPr>
          <w:rFonts w:cstheme="minorHAnsi"/>
        </w:rPr>
      </w:pPr>
      <w:r w:rsidRPr="00C5234C">
        <w:rPr>
          <w:rFonts w:cstheme="minorHAnsi"/>
          <w:b/>
        </w:rPr>
        <w:t>Prioritet 3</w:t>
      </w:r>
      <w:r w:rsidRPr="0091228A">
        <w:rPr>
          <w:rFonts w:cstheme="minorHAnsi"/>
        </w:rPr>
        <w:t xml:space="preserve">. Zelena i digitalna tranzicija gospodarstva i društva </w:t>
      </w:r>
    </w:p>
    <w:p w14:paraId="4FA6EECA" w14:textId="067AE9CE" w:rsidR="003936BF" w:rsidRPr="0091228A" w:rsidRDefault="003936BF" w:rsidP="007510FD">
      <w:pPr>
        <w:ind w:left="708"/>
        <w:rPr>
          <w:rFonts w:cstheme="minorHAnsi"/>
        </w:rPr>
      </w:pPr>
      <w:r w:rsidRPr="00C5234C">
        <w:rPr>
          <w:rFonts w:cstheme="minorHAnsi"/>
          <w:b/>
        </w:rPr>
        <w:t>Prioritet 4.</w:t>
      </w:r>
      <w:r w:rsidRPr="0091228A">
        <w:rPr>
          <w:rFonts w:cstheme="minorHAnsi"/>
        </w:rPr>
        <w:t xml:space="preserve"> Jačanje  konkurentnosti </w:t>
      </w:r>
      <w:r w:rsidR="004E1554">
        <w:rPr>
          <w:rFonts w:cstheme="minorHAnsi"/>
        </w:rPr>
        <w:t>Ž</w:t>
      </w:r>
      <w:r w:rsidRPr="0091228A">
        <w:rPr>
          <w:rFonts w:cstheme="minorHAnsi"/>
        </w:rPr>
        <w:t xml:space="preserve">upanije i razvoj potpomognutih područja </w:t>
      </w:r>
    </w:p>
    <w:p w14:paraId="23ECE4F4" w14:textId="77777777" w:rsidR="0018496E" w:rsidRPr="001166C1" w:rsidRDefault="0018496E" w:rsidP="00DF4171">
      <w:pPr>
        <w:jc w:val="both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51B7BCF" w14:textId="6519D3A1" w:rsidR="00B82D1E" w:rsidRPr="0091228A" w:rsidRDefault="007D2117" w:rsidP="00DF4171">
      <w:pPr>
        <w:jc w:val="both"/>
        <w:rPr>
          <w:rFonts w:cstheme="minorHAnsi"/>
        </w:rPr>
      </w:pPr>
      <w:r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Prioritet 1</w:t>
      </w:r>
      <w:r w:rsidR="000536C0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52782D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- </w:t>
      </w:r>
      <w:r w:rsidR="000536C0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Razvoj konkurentnog i inovativnog gospodarstva te rast zaposlenosti i stope obrazovanja </w:t>
      </w:r>
      <w:r w:rsidR="00756B70" w:rsidRPr="0091228A">
        <w:rPr>
          <w:rFonts w:cstheme="minorHAnsi"/>
        </w:rPr>
        <w:t xml:space="preserve">pridonijet će </w:t>
      </w:r>
      <w:r w:rsidR="002B7783" w:rsidRPr="0091228A">
        <w:rPr>
          <w:rFonts w:cstheme="minorHAnsi"/>
        </w:rPr>
        <w:t>rješ</w:t>
      </w:r>
      <w:r w:rsidR="00756B70" w:rsidRPr="0091228A">
        <w:rPr>
          <w:rFonts w:cstheme="minorHAnsi"/>
        </w:rPr>
        <w:t xml:space="preserve">avanju </w:t>
      </w:r>
      <w:r w:rsidR="007510FD" w:rsidRPr="0091228A">
        <w:rPr>
          <w:rFonts w:cstheme="minorHAnsi"/>
        </w:rPr>
        <w:t>izazov</w:t>
      </w:r>
      <w:r w:rsidR="00756B70" w:rsidRPr="0091228A">
        <w:rPr>
          <w:rFonts w:cstheme="minorHAnsi"/>
        </w:rPr>
        <w:t>a</w:t>
      </w:r>
      <w:r w:rsidR="00DF4171" w:rsidRPr="0091228A">
        <w:rPr>
          <w:rFonts w:cstheme="minorHAnsi"/>
        </w:rPr>
        <w:t xml:space="preserve"> poput </w:t>
      </w:r>
      <w:r w:rsidR="001F6A0F" w:rsidRPr="0091228A">
        <w:rPr>
          <w:rFonts w:cstheme="minorHAnsi"/>
        </w:rPr>
        <w:t>potrebe jačanja</w:t>
      </w:r>
      <w:r w:rsidR="00DF4171" w:rsidRPr="0091228A">
        <w:rPr>
          <w:rFonts w:cstheme="minorHAnsi"/>
        </w:rPr>
        <w:t xml:space="preserve"> poduzetničke klime, </w:t>
      </w:r>
      <w:r w:rsidR="001F6A0F" w:rsidRPr="0091228A">
        <w:rPr>
          <w:rFonts w:cstheme="minorHAnsi"/>
        </w:rPr>
        <w:t xml:space="preserve">izdašnijeg </w:t>
      </w:r>
      <w:r w:rsidR="00DF4171" w:rsidRPr="0091228A">
        <w:rPr>
          <w:rFonts w:cstheme="minorHAnsi"/>
        </w:rPr>
        <w:t xml:space="preserve"> subvencioniranja i nedovoljnih bespovratnih sredstva za otvaranje novih i širenje postojećih gospodarskih subjekata, izostanka jasnih planova razvoja u ključnim područjima gospodarstva,  neusklađenosti obrazovnog sustava i potreba tržišta rada, nedovoljno razvijene turističke ponude i infrastrukture te neiskorištenost</w:t>
      </w:r>
      <w:r w:rsidR="00756B70" w:rsidRPr="0091228A">
        <w:rPr>
          <w:rFonts w:cstheme="minorHAnsi"/>
        </w:rPr>
        <w:t>i</w:t>
      </w:r>
      <w:r w:rsidR="00DF4171" w:rsidRPr="0091228A">
        <w:rPr>
          <w:rFonts w:cstheme="minorHAnsi"/>
        </w:rPr>
        <w:t xml:space="preserve"> industrijskih zona</w:t>
      </w:r>
      <w:r w:rsidR="00756B70" w:rsidRPr="0091228A">
        <w:rPr>
          <w:rFonts w:cstheme="minorHAnsi"/>
        </w:rPr>
        <w:t>. Ujedno</w:t>
      </w:r>
      <w:r w:rsidR="002369C1">
        <w:rPr>
          <w:rFonts w:cstheme="minorHAnsi"/>
        </w:rPr>
        <w:t xml:space="preserve"> će se </w:t>
      </w:r>
      <w:r w:rsidR="00756B70" w:rsidRPr="0091228A">
        <w:rPr>
          <w:rFonts w:cstheme="minorHAnsi"/>
        </w:rPr>
        <w:t xml:space="preserve">nastojati </w:t>
      </w:r>
      <w:r w:rsidR="002B7783" w:rsidRPr="0091228A">
        <w:rPr>
          <w:rFonts w:cstheme="minorHAnsi"/>
        </w:rPr>
        <w:t xml:space="preserve">realizirati potencijal </w:t>
      </w:r>
      <w:r w:rsidR="00DF4171" w:rsidRPr="0091228A">
        <w:rPr>
          <w:rFonts w:cstheme="minorHAnsi"/>
        </w:rPr>
        <w:t>poput dostupnosti poduzetničke infrastrukture, postojanj</w:t>
      </w:r>
      <w:r w:rsidR="001F6A0F" w:rsidRPr="0091228A">
        <w:rPr>
          <w:rFonts w:cstheme="minorHAnsi"/>
        </w:rPr>
        <w:t>a</w:t>
      </w:r>
      <w:r w:rsidR="00DF4171" w:rsidRPr="0091228A">
        <w:rPr>
          <w:rFonts w:cstheme="minorHAnsi"/>
        </w:rPr>
        <w:t xml:space="preserve"> poduzetničko-potpornih institucija, tradicije u metaloprerađivačkoj industriji </w:t>
      </w:r>
      <w:r w:rsidR="002369C1">
        <w:rPr>
          <w:rFonts w:cstheme="minorHAnsi"/>
        </w:rPr>
        <w:t>te</w:t>
      </w:r>
      <w:r w:rsidR="00DF4171" w:rsidRPr="0091228A">
        <w:rPr>
          <w:rFonts w:cstheme="minorHAnsi"/>
        </w:rPr>
        <w:t xml:space="preserve"> bogate  kulturne i prirodne  baštine kao  resursa za razvoj </w:t>
      </w:r>
      <w:r w:rsidR="001F6A0F" w:rsidRPr="0091228A">
        <w:rPr>
          <w:rFonts w:cstheme="minorHAnsi"/>
        </w:rPr>
        <w:t xml:space="preserve">održivog </w:t>
      </w:r>
      <w:r w:rsidR="00DF4171" w:rsidRPr="0091228A">
        <w:rPr>
          <w:rFonts w:cstheme="minorHAnsi"/>
        </w:rPr>
        <w:t xml:space="preserve">turizma. </w:t>
      </w:r>
    </w:p>
    <w:p w14:paraId="39968396" w14:textId="5F816791" w:rsidR="000536C0" w:rsidRPr="0091228A" w:rsidRDefault="007510FD" w:rsidP="00DF4171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Prioritet </w:t>
      </w:r>
      <w:r w:rsidR="00756B70" w:rsidRPr="0091228A">
        <w:rPr>
          <w:rFonts w:cstheme="minorHAnsi"/>
        </w:rPr>
        <w:t xml:space="preserve">će se </w:t>
      </w:r>
      <w:r w:rsidRPr="0091228A">
        <w:rPr>
          <w:rFonts w:cstheme="minorHAnsi"/>
        </w:rPr>
        <w:t xml:space="preserve"> ostvar</w:t>
      </w:r>
      <w:r w:rsidR="00756B70" w:rsidRPr="0091228A">
        <w:rPr>
          <w:rFonts w:cstheme="minorHAnsi"/>
        </w:rPr>
        <w:t xml:space="preserve">iti </w:t>
      </w:r>
      <w:r w:rsidRPr="0091228A">
        <w:rPr>
          <w:rFonts w:cstheme="minorHAnsi"/>
        </w:rPr>
        <w:t xml:space="preserve"> r</w:t>
      </w:r>
      <w:r w:rsidR="000536C0" w:rsidRPr="0091228A">
        <w:rPr>
          <w:rFonts w:cstheme="minorHAnsi"/>
        </w:rPr>
        <w:t>azvoj</w:t>
      </w:r>
      <w:r w:rsidR="002369C1">
        <w:rPr>
          <w:rFonts w:cstheme="minorHAnsi"/>
        </w:rPr>
        <w:t>em</w:t>
      </w:r>
      <w:r w:rsidR="000536C0" w:rsidRPr="0091228A">
        <w:rPr>
          <w:rFonts w:cstheme="minorHAnsi"/>
        </w:rPr>
        <w:t xml:space="preserve"> kreativnog i inovativnog poduzetništva</w:t>
      </w:r>
      <w:r w:rsidRPr="0091228A">
        <w:rPr>
          <w:rFonts w:cstheme="minorHAnsi"/>
        </w:rPr>
        <w:t>, o</w:t>
      </w:r>
      <w:r w:rsidR="000536C0" w:rsidRPr="0091228A">
        <w:rPr>
          <w:rFonts w:cstheme="minorHAnsi"/>
        </w:rPr>
        <w:t>siguranje</w:t>
      </w:r>
      <w:r w:rsidR="00BC1BCF">
        <w:rPr>
          <w:rFonts w:cstheme="minorHAnsi"/>
        </w:rPr>
        <w:t>m</w:t>
      </w:r>
      <w:r w:rsidR="000536C0" w:rsidRPr="0091228A">
        <w:rPr>
          <w:rFonts w:cstheme="minorHAnsi"/>
        </w:rPr>
        <w:t xml:space="preserve"> perspektivnog tržišta rada i zapošljavanj</w:t>
      </w:r>
      <w:r w:rsidR="00BC1BCF">
        <w:rPr>
          <w:rFonts w:cstheme="minorHAnsi"/>
        </w:rPr>
        <w:t>a</w:t>
      </w:r>
      <w:r w:rsidRPr="0091228A">
        <w:rPr>
          <w:rFonts w:cstheme="minorHAnsi"/>
        </w:rPr>
        <w:t>, r</w:t>
      </w:r>
      <w:r w:rsidR="000536C0" w:rsidRPr="0091228A">
        <w:rPr>
          <w:rFonts w:cstheme="minorHAnsi"/>
        </w:rPr>
        <w:t>azvoj</w:t>
      </w:r>
      <w:r w:rsidR="00BC1BCF">
        <w:rPr>
          <w:rFonts w:cstheme="minorHAnsi"/>
        </w:rPr>
        <w:t>em</w:t>
      </w:r>
      <w:r w:rsidR="000536C0" w:rsidRPr="0091228A">
        <w:rPr>
          <w:rFonts w:cstheme="minorHAnsi"/>
        </w:rPr>
        <w:t xml:space="preserve"> znanosti i obrazovanja</w:t>
      </w:r>
      <w:r w:rsidRPr="0091228A">
        <w:rPr>
          <w:rFonts w:cstheme="minorHAnsi"/>
        </w:rPr>
        <w:t xml:space="preserve"> </w:t>
      </w:r>
      <w:r w:rsidR="00BC1BCF">
        <w:rPr>
          <w:rFonts w:cstheme="minorHAnsi"/>
        </w:rPr>
        <w:t>te</w:t>
      </w:r>
      <w:r w:rsidRPr="0091228A">
        <w:rPr>
          <w:rFonts w:cstheme="minorHAnsi"/>
        </w:rPr>
        <w:t xml:space="preserve"> o</w:t>
      </w:r>
      <w:r w:rsidR="000536C0" w:rsidRPr="0091228A">
        <w:rPr>
          <w:rFonts w:cstheme="minorHAnsi"/>
        </w:rPr>
        <w:t>drživ</w:t>
      </w:r>
      <w:r w:rsidR="00BC1BCF">
        <w:rPr>
          <w:rFonts w:cstheme="minorHAnsi"/>
        </w:rPr>
        <w:t>im</w:t>
      </w:r>
      <w:r w:rsidR="000536C0" w:rsidRPr="0091228A">
        <w:rPr>
          <w:rFonts w:cstheme="minorHAnsi"/>
        </w:rPr>
        <w:t xml:space="preserve"> korištenje</w:t>
      </w:r>
      <w:r w:rsidR="00BC1BCF">
        <w:rPr>
          <w:rFonts w:cstheme="minorHAnsi"/>
        </w:rPr>
        <w:t>m</w:t>
      </w:r>
      <w:r w:rsidR="000536C0" w:rsidRPr="0091228A">
        <w:rPr>
          <w:rFonts w:cstheme="minorHAnsi"/>
        </w:rPr>
        <w:t xml:space="preserve"> prirodne i kulturne baštine za gospodarski rast i razvoj</w:t>
      </w:r>
      <w:r w:rsidRPr="0091228A">
        <w:rPr>
          <w:rFonts w:cstheme="minorHAnsi"/>
        </w:rPr>
        <w:t xml:space="preserve">. Ključne </w:t>
      </w:r>
      <w:r w:rsidR="00E4113E" w:rsidRPr="0091228A">
        <w:rPr>
          <w:rFonts w:cstheme="minorHAnsi"/>
        </w:rPr>
        <w:t xml:space="preserve">intervencije za daljnji </w:t>
      </w:r>
      <w:r w:rsidRPr="0091228A">
        <w:rPr>
          <w:rFonts w:cstheme="minorHAnsi"/>
        </w:rPr>
        <w:t>razvoj konkurentnog i inovativnog gospodarstva</w:t>
      </w:r>
      <w:r w:rsidR="001F6A0F" w:rsidRPr="0091228A">
        <w:rPr>
          <w:rFonts w:cstheme="minorHAnsi"/>
        </w:rPr>
        <w:t xml:space="preserve"> </w:t>
      </w:r>
      <w:r w:rsidRPr="0091228A">
        <w:rPr>
          <w:rFonts w:cstheme="minorHAnsi"/>
        </w:rPr>
        <w:t xml:space="preserve">te rast zaposlenosti i stope obrazovanja </w:t>
      </w:r>
      <w:r w:rsidR="00E4113E" w:rsidRPr="0091228A">
        <w:rPr>
          <w:rFonts w:cstheme="minorHAnsi"/>
        </w:rPr>
        <w:t xml:space="preserve">odnose se na </w:t>
      </w:r>
      <w:r w:rsidRPr="0091228A">
        <w:rPr>
          <w:rFonts w:cstheme="minorHAnsi"/>
        </w:rPr>
        <w:t>p</w:t>
      </w:r>
      <w:r w:rsidR="000536C0" w:rsidRPr="0091228A">
        <w:rPr>
          <w:rFonts w:cstheme="minorHAnsi"/>
        </w:rPr>
        <w:t>oticanje suradnje visokoobrazovnih i znanstveno-istraživačkih institucija s poduzećima i obrtima</w:t>
      </w:r>
      <w:r w:rsidR="00756B70" w:rsidRPr="0091228A">
        <w:rPr>
          <w:rFonts w:cstheme="minorHAnsi"/>
        </w:rPr>
        <w:t xml:space="preserve">. </w:t>
      </w:r>
      <w:r w:rsidR="00BC1BCF">
        <w:rPr>
          <w:rFonts w:cstheme="minorHAnsi"/>
        </w:rPr>
        <w:t>V</w:t>
      </w:r>
      <w:r w:rsidR="00E4113E" w:rsidRPr="0091228A">
        <w:rPr>
          <w:rFonts w:cstheme="minorHAnsi"/>
        </w:rPr>
        <w:t>ezane</w:t>
      </w:r>
      <w:r w:rsidR="00BC1BCF">
        <w:rPr>
          <w:rFonts w:cstheme="minorHAnsi"/>
        </w:rPr>
        <w:t xml:space="preserve"> su</w:t>
      </w:r>
      <w:r w:rsidR="00E4113E" w:rsidRPr="0091228A">
        <w:rPr>
          <w:rFonts w:cstheme="minorHAnsi"/>
        </w:rPr>
        <w:t xml:space="preserve"> i za</w:t>
      </w:r>
      <w:r w:rsidR="001F6A0F" w:rsidRPr="0091228A">
        <w:rPr>
          <w:rFonts w:cstheme="minorHAnsi"/>
        </w:rPr>
        <w:t xml:space="preserve"> jača</w:t>
      </w:r>
      <w:r w:rsidR="000536C0" w:rsidRPr="0091228A">
        <w:rPr>
          <w:rFonts w:cstheme="minorHAnsi"/>
        </w:rPr>
        <w:t>nje kultur</w:t>
      </w:r>
      <w:r w:rsidR="00BC1BCF">
        <w:rPr>
          <w:rFonts w:cstheme="minorHAnsi"/>
        </w:rPr>
        <w:t>n</w:t>
      </w:r>
      <w:r w:rsidR="000536C0" w:rsidRPr="0091228A">
        <w:rPr>
          <w:rFonts w:cstheme="minorHAnsi"/>
        </w:rPr>
        <w:t>e inovativnosti u javnom i privatnom sektoru kroz ulaganja u razvoj poduzetničkih zona te promidžbene aktivnosti</w:t>
      </w:r>
      <w:r w:rsidR="00756B70" w:rsidRPr="0091228A">
        <w:rPr>
          <w:rFonts w:cstheme="minorHAnsi"/>
        </w:rPr>
        <w:t xml:space="preserve">. </w:t>
      </w:r>
      <w:r w:rsidR="00E4113E" w:rsidRPr="0091228A">
        <w:rPr>
          <w:rFonts w:cstheme="minorHAnsi"/>
        </w:rPr>
        <w:t xml:space="preserve">Nadalje, intervencije su </w:t>
      </w:r>
      <w:r w:rsidR="00756B70" w:rsidRPr="0091228A">
        <w:rPr>
          <w:rFonts w:cstheme="minorHAnsi"/>
        </w:rPr>
        <w:t xml:space="preserve">usmjerene i na </w:t>
      </w:r>
      <w:r w:rsidRPr="0091228A">
        <w:rPr>
          <w:rFonts w:cstheme="minorHAnsi"/>
        </w:rPr>
        <w:t xml:space="preserve"> </w:t>
      </w:r>
      <w:r w:rsidR="002B7783" w:rsidRPr="0091228A">
        <w:rPr>
          <w:rFonts w:cstheme="minorHAnsi"/>
        </w:rPr>
        <w:t>poticanje</w:t>
      </w:r>
      <w:r w:rsidR="000536C0" w:rsidRPr="0091228A">
        <w:rPr>
          <w:rFonts w:cstheme="minorHAnsi"/>
        </w:rPr>
        <w:t xml:space="preserve"> poduzeća </w:t>
      </w:r>
      <w:r w:rsidR="00756B70" w:rsidRPr="0091228A">
        <w:rPr>
          <w:rFonts w:cstheme="minorHAnsi"/>
        </w:rPr>
        <w:t xml:space="preserve">na </w:t>
      </w:r>
      <w:r w:rsidR="000536C0" w:rsidRPr="0091228A">
        <w:rPr>
          <w:rFonts w:cstheme="minorHAnsi"/>
        </w:rPr>
        <w:t>jačanj</w:t>
      </w:r>
      <w:r w:rsidR="00756B70" w:rsidRPr="0091228A">
        <w:rPr>
          <w:rFonts w:cstheme="minorHAnsi"/>
        </w:rPr>
        <w:t>e</w:t>
      </w:r>
      <w:r w:rsidR="000536C0" w:rsidRPr="0091228A">
        <w:rPr>
          <w:rFonts w:cstheme="minorHAnsi"/>
        </w:rPr>
        <w:t xml:space="preserve"> tehnološke opremljenosti, razvoj tehnologije i znanja i poticanje razvoja poduzeća u djelatnostima s višom dodanom vrijednosti osobito informacijskim i komunikacijskim te </w:t>
      </w:r>
      <w:r w:rsidR="00756B70" w:rsidRPr="0091228A">
        <w:rPr>
          <w:rFonts w:cstheme="minorHAnsi"/>
        </w:rPr>
        <w:t>na</w:t>
      </w:r>
      <w:r w:rsidR="000536C0" w:rsidRPr="0091228A">
        <w:rPr>
          <w:rFonts w:cstheme="minorHAnsi"/>
        </w:rPr>
        <w:t xml:space="preserve"> pokretanje i rast </w:t>
      </w:r>
      <w:r w:rsidR="000536C0" w:rsidRPr="00D85CCB">
        <w:rPr>
          <w:rFonts w:cstheme="minorHAnsi"/>
          <w:i/>
        </w:rPr>
        <w:t>start-up</w:t>
      </w:r>
      <w:r w:rsidR="000536C0" w:rsidRPr="0091228A">
        <w:rPr>
          <w:rFonts w:cstheme="minorHAnsi"/>
        </w:rPr>
        <w:t xml:space="preserve"> poduzeća.</w:t>
      </w:r>
      <w:r w:rsidRPr="0091228A">
        <w:rPr>
          <w:rFonts w:cstheme="minorHAnsi"/>
        </w:rPr>
        <w:t xml:space="preserve"> </w:t>
      </w:r>
      <w:r w:rsidR="002A0294">
        <w:rPr>
          <w:rFonts w:cstheme="minorHAnsi"/>
        </w:rPr>
        <w:t>N</w:t>
      </w:r>
      <w:r w:rsidRPr="0091228A">
        <w:rPr>
          <w:rFonts w:cstheme="minorHAnsi"/>
        </w:rPr>
        <w:t xml:space="preserve">astojanja su usmjerena </w:t>
      </w:r>
      <w:r w:rsidR="002A0294">
        <w:rPr>
          <w:rFonts w:cstheme="minorHAnsi"/>
        </w:rPr>
        <w:t xml:space="preserve">i </w:t>
      </w:r>
      <w:r w:rsidRPr="0091228A">
        <w:rPr>
          <w:rFonts w:cstheme="minorHAnsi"/>
        </w:rPr>
        <w:t>na j</w:t>
      </w:r>
      <w:r w:rsidR="000536C0" w:rsidRPr="0091228A">
        <w:rPr>
          <w:rFonts w:cstheme="minorHAnsi"/>
        </w:rPr>
        <w:t>ačanje, osuvremenjivanje i umrežavanje potpornih poduzetničkih institucija, poboljšavanje vještina zaposlenika u potpornim institucijama i podupiranje sudjelovanja poduzetnika u svim potpornim programima.</w:t>
      </w:r>
    </w:p>
    <w:p w14:paraId="491FA3FB" w14:textId="795E24D3" w:rsidR="000536C0" w:rsidRPr="0091228A" w:rsidRDefault="000536C0" w:rsidP="00C3188D">
      <w:pPr>
        <w:jc w:val="both"/>
        <w:rPr>
          <w:rFonts w:cstheme="minorHAnsi"/>
        </w:rPr>
      </w:pPr>
      <w:r w:rsidRPr="0091228A">
        <w:rPr>
          <w:rFonts w:cstheme="minorHAnsi"/>
        </w:rPr>
        <w:lastRenderedPageBreak/>
        <w:t>Povećanje zaposlenosti i poticanje društvene uključenosti</w:t>
      </w:r>
      <w:r w:rsidR="007510FD" w:rsidRPr="0091228A">
        <w:rPr>
          <w:rFonts w:cstheme="minorHAnsi"/>
        </w:rPr>
        <w:t xml:space="preserve"> osigurat će se kroz o</w:t>
      </w:r>
      <w:r w:rsidRPr="0091228A">
        <w:rPr>
          <w:rFonts w:cstheme="minorHAnsi"/>
        </w:rPr>
        <w:t>smišljavanj</w:t>
      </w:r>
      <w:r w:rsidR="007510FD" w:rsidRPr="0091228A">
        <w:rPr>
          <w:rFonts w:cstheme="minorHAnsi"/>
        </w:rPr>
        <w:t xml:space="preserve">e </w:t>
      </w:r>
      <w:r w:rsidRPr="0091228A">
        <w:rPr>
          <w:rFonts w:cstheme="minorHAnsi"/>
        </w:rPr>
        <w:t>različitih oblika potpora za zapošljavanje poput potpora za prekvalifikaciju radne snage, potpor</w:t>
      </w:r>
      <w:r w:rsidR="00D46D8C" w:rsidRPr="0091228A">
        <w:rPr>
          <w:rFonts w:cstheme="minorHAnsi"/>
        </w:rPr>
        <w:t>e</w:t>
      </w:r>
      <w:r w:rsidRPr="0091228A">
        <w:rPr>
          <w:rFonts w:cstheme="minorHAnsi"/>
        </w:rPr>
        <w:t xml:space="preserve"> za zapošljavanje osoba u riziku od siromaštva</w:t>
      </w:r>
      <w:r w:rsidR="002A0294">
        <w:rPr>
          <w:rFonts w:cstheme="minorHAnsi"/>
        </w:rPr>
        <w:t xml:space="preserve"> </w:t>
      </w:r>
      <w:r w:rsidRPr="0091228A">
        <w:rPr>
          <w:rFonts w:cstheme="minorHAnsi"/>
        </w:rPr>
        <w:t>/</w:t>
      </w:r>
      <w:r w:rsidR="002A0294">
        <w:rPr>
          <w:rFonts w:cstheme="minorHAnsi"/>
        </w:rPr>
        <w:t xml:space="preserve"> </w:t>
      </w:r>
      <w:r w:rsidRPr="0091228A">
        <w:rPr>
          <w:rFonts w:cstheme="minorHAnsi"/>
        </w:rPr>
        <w:t>socijalne isključenosti i potpora za programe osposobljavanja i usavršavanja.</w:t>
      </w:r>
      <w:r w:rsidR="007510FD" w:rsidRPr="0091228A">
        <w:rPr>
          <w:rFonts w:cstheme="minorHAnsi"/>
        </w:rPr>
        <w:t xml:space="preserve"> Kontinuirano će se pratiti i informirati zainteresirana javnost o </w:t>
      </w:r>
      <w:r w:rsidRPr="0091228A">
        <w:rPr>
          <w:rFonts w:cstheme="minorHAnsi"/>
        </w:rPr>
        <w:t>mogućnostima zapošljavanja</w:t>
      </w:r>
      <w:r w:rsidR="00D46D8C" w:rsidRPr="0091228A">
        <w:rPr>
          <w:rFonts w:cstheme="minorHAnsi"/>
        </w:rPr>
        <w:t xml:space="preserve">, osigurat će se </w:t>
      </w:r>
      <w:r w:rsidRPr="0091228A">
        <w:rPr>
          <w:rFonts w:cstheme="minorHAnsi"/>
        </w:rPr>
        <w:t xml:space="preserve"> potpor</w:t>
      </w:r>
      <w:r w:rsidR="00D46D8C" w:rsidRPr="0091228A">
        <w:rPr>
          <w:rFonts w:cstheme="minorHAnsi"/>
        </w:rPr>
        <w:t>e</w:t>
      </w:r>
      <w:r w:rsidRPr="0091228A">
        <w:rPr>
          <w:rFonts w:cstheme="minorHAnsi"/>
        </w:rPr>
        <w:t>/olakšic</w:t>
      </w:r>
      <w:r w:rsidR="00D46D8C" w:rsidRPr="0091228A">
        <w:rPr>
          <w:rFonts w:cstheme="minorHAnsi"/>
        </w:rPr>
        <w:t>e</w:t>
      </w:r>
      <w:r w:rsidRPr="0091228A">
        <w:rPr>
          <w:rFonts w:cstheme="minorHAnsi"/>
        </w:rPr>
        <w:t xml:space="preserve"> za otvaranje poduzeća i/ili novih radnih mjesta te razvoj i provedba programa za poticanje ženskog poduzetništva.</w:t>
      </w:r>
    </w:p>
    <w:p w14:paraId="5C746B43" w14:textId="1F4E49A8" w:rsidR="000536C0" w:rsidRPr="0091228A" w:rsidRDefault="000536C0" w:rsidP="00C3188D">
      <w:pPr>
        <w:jc w:val="both"/>
        <w:rPr>
          <w:rFonts w:cstheme="minorHAnsi"/>
        </w:rPr>
      </w:pPr>
      <w:r w:rsidRPr="0091228A">
        <w:rPr>
          <w:rFonts w:cstheme="minorHAnsi"/>
        </w:rPr>
        <w:t>Potica</w:t>
      </w:r>
      <w:r w:rsidR="007510FD" w:rsidRPr="0091228A">
        <w:rPr>
          <w:rFonts w:cstheme="minorHAnsi"/>
        </w:rPr>
        <w:t>t će se j</w:t>
      </w:r>
      <w:r w:rsidRPr="0091228A">
        <w:rPr>
          <w:rFonts w:cstheme="minorHAnsi"/>
        </w:rPr>
        <w:t>ačanje suradnje gospodarstva, znanosti i obrazovanja, osobito u metalnom, drvnom</w:t>
      </w:r>
      <w:r w:rsidR="003903DF" w:rsidRPr="0091228A">
        <w:rPr>
          <w:rFonts w:cstheme="minorHAnsi"/>
        </w:rPr>
        <w:t xml:space="preserve">, </w:t>
      </w:r>
      <w:r w:rsidRPr="0091228A">
        <w:rPr>
          <w:rFonts w:cstheme="minorHAnsi"/>
        </w:rPr>
        <w:t xml:space="preserve">poljoprivrednom </w:t>
      </w:r>
      <w:r w:rsidR="003903DF" w:rsidRPr="0091228A">
        <w:rPr>
          <w:rFonts w:cstheme="minorHAnsi"/>
        </w:rPr>
        <w:t xml:space="preserve">i </w:t>
      </w:r>
      <w:r w:rsidRPr="0091228A">
        <w:rPr>
          <w:rFonts w:cstheme="minorHAnsi"/>
        </w:rPr>
        <w:t xml:space="preserve"> IKT sektoru </w:t>
      </w:r>
      <w:r w:rsidR="00D46D8C" w:rsidRPr="0091228A">
        <w:rPr>
          <w:rFonts w:cstheme="minorHAnsi"/>
        </w:rPr>
        <w:t>te</w:t>
      </w:r>
      <w:r w:rsidRPr="0091228A">
        <w:rPr>
          <w:rFonts w:cstheme="minorHAnsi"/>
        </w:rPr>
        <w:t xml:space="preserve"> potica</w:t>
      </w:r>
      <w:r w:rsidR="00D46D8C" w:rsidRPr="0091228A">
        <w:rPr>
          <w:rFonts w:cstheme="minorHAnsi"/>
        </w:rPr>
        <w:t xml:space="preserve">ti </w:t>
      </w:r>
      <w:r w:rsidRPr="0091228A">
        <w:rPr>
          <w:rFonts w:cstheme="minorHAnsi"/>
        </w:rPr>
        <w:t xml:space="preserve"> </w:t>
      </w:r>
      <w:r w:rsidR="00D46D8C" w:rsidRPr="0091228A">
        <w:rPr>
          <w:rFonts w:cstheme="minorHAnsi"/>
        </w:rPr>
        <w:t xml:space="preserve">znanstvena </w:t>
      </w:r>
      <w:r w:rsidRPr="0091228A">
        <w:rPr>
          <w:rFonts w:cstheme="minorHAnsi"/>
        </w:rPr>
        <w:t>suradnj</w:t>
      </w:r>
      <w:r w:rsidR="00D46D8C" w:rsidRPr="0091228A">
        <w:rPr>
          <w:rFonts w:cstheme="minorHAnsi"/>
        </w:rPr>
        <w:t>a</w:t>
      </w:r>
      <w:r w:rsidRPr="0091228A">
        <w:rPr>
          <w:rFonts w:cstheme="minorHAnsi"/>
        </w:rPr>
        <w:t xml:space="preserve"> s drugim županijama i inozemstvom. Unapre</w:t>
      </w:r>
      <w:r w:rsidR="00C3188D" w:rsidRPr="0091228A">
        <w:rPr>
          <w:rFonts w:cstheme="minorHAnsi"/>
        </w:rPr>
        <w:t xml:space="preserve">đivat će se </w:t>
      </w:r>
      <w:r w:rsidRPr="0091228A">
        <w:rPr>
          <w:rFonts w:cstheme="minorHAnsi"/>
        </w:rPr>
        <w:t>kvalitet</w:t>
      </w:r>
      <w:r w:rsidR="00C3188D" w:rsidRPr="0091228A">
        <w:rPr>
          <w:rFonts w:cstheme="minorHAnsi"/>
        </w:rPr>
        <w:t>a</w:t>
      </w:r>
      <w:r w:rsidRPr="0091228A">
        <w:rPr>
          <w:rFonts w:cstheme="minorHAnsi"/>
        </w:rPr>
        <w:t xml:space="preserve"> sustava odgoja i obrazovanja kroz nove obrazovne programe i novu infrastrukturu</w:t>
      </w:r>
      <w:r w:rsidR="00C3188D" w:rsidRPr="0091228A">
        <w:rPr>
          <w:rFonts w:cstheme="minorHAnsi"/>
        </w:rPr>
        <w:t>, osigurati u</w:t>
      </w:r>
      <w:r w:rsidRPr="0091228A">
        <w:rPr>
          <w:rFonts w:cstheme="minorHAnsi"/>
        </w:rPr>
        <w:t xml:space="preserve">vođenje novih programa za rani  i predškolski odgoj, </w:t>
      </w:r>
      <w:r w:rsidR="00D46D8C" w:rsidRPr="0091228A">
        <w:rPr>
          <w:rFonts w:cstheme="minorHAnsi"/>
        </w:rPr>
        <w:t xml:space="preserve">ulagati u </w:t>
      </w:r>
      <w:r w:rsidRPr="0091228A">
        <w:rPr>
          <w:rFonts w:cstheme="minorHAnsi"/>
        </w:rPr>
        <w:t>izgradnj</w:t>
      </w:r>
      <w:r w:rsidR="00D46D8C" w:rsidRPr="0091228A">
        <w:rPr>
          <w:rFonts w:cstheme="minorHAnsi"/>
        </w:rPr>
        <w:t>u</w:t>
      </w:r>
      <w:r w:rsidRPr="0091228A">
        <w:rPr>
          <w:rFonts w:cstheme="minorHAnsi"/>
        </w:rPr>
        <w:t xml:space="preserve"> novih te rekonstrukcij</w:t>
      </w:r>
      <w:r w:rsidR="00D46D8C" w:rsidRPr="0091228A">
        <w:rPr>
          <w:rFonts w:cstheme="minorHAnsi"/>
        </w:rPr>
        <w:t>u</w:t>
      </w:r>
      <w:r w:rsidRPr="0091228A">
        <w:rPr>
          <w:rFonts w:cstheme="minorHAnsi"/>
        </w:rPr>
        <w:t xml:space="preserve"> i/ili obnov</w:t>
      </w:r>
      <w:r w:rsidR="00D46D8C" w:rsidRPr="0091228A">
        <w:rPr>
          <w:rFonts w:cstheme="minorHAnsi"/>
        </w:rPr>
        <w:t>u</w:t>
      </w:r>
      <w:r w:rsidRPr="0091228A">
        <w:rPr>
          <w:rFonts w:cstheme="minorHAnsi"/>
        </w:rPr>
        <w:t xml:space="preserve"> i opremanje postojećih objekata</w:t>
      </w:r>
      <w:r w:rsidR="0073623F">
        <w:rPr>
          <w:rFonts w:cstheme="minorHAnsi"/>
        </w:rPr>
        <w:t>,</w:t>
      </w:r>
      <w:r w:rsidRPr="0091228A">
        <w:rPr>
          <w:rFonts w:cstheme="minorHAnsi"/>
        </w:rPr>
        <w:t xml:space="preserve"> </w:t>
      </w:r>
      <w:r w:rsidR="00D46D8C" w:rsidRPr="0091228A">
        <w:rPr>
          <w:rFonts w:cstheme="minorHAnsi"/>
        </w:rPr>
        <w:t xml:space="preserve">ali i </w:t>
      </w:r>
      <w:r w:rsidR="00C3188D" w:rsidRPr="0091228A">
        <w:rPr>
          <w:rFonts w:cstheme="minorHAnsi"/>
        </w:rPr>
        <w:t xml:space="preserve"> adekvatno opremanje ustanova.</w:t>
      </w:r>
      <w:r w:rsidRPr="0091228A">
        <w:rPr>
          <w:rFonts w:cstheme="minorHAnsi"/>
        </w:rPr>
        <w:t xml:space="preserve"> </w:t>
      </w:r>
    </w:p>
    <w:p w14:paraId="3C7795C6" w14:textId="196C856E" w:rsidR="000536C0" w:rsidRPr="0091228A" w:rsidRDefault="003903DF" w:rsidP="00C3188D">
      <w:pPr>
        <w:jc w:val="both"/>
        <w:rPr>
          <w:rFonts w:cstheme="minorHAnsi"/>
        </w:rPr>
      </w:pPr>
      <w:r w:rsidRPr="0091228A">
        <w:rPr>
          <w:rFonts w:cstheme="minorHAnsi"/>
        </w:rPr>
        <w:t>Ujedno će se o</w:t>
      </w:r>
      <w:r w:rsidR="000536C0" w:rsidRPr="0091228A">
        <w:rPr>
          <w:rFonts w:cstheme="minorHAnsi"/>
        </w:rPr>
        <w:t>sigura</w:t>
      </w:r>
      <w:r w:rsidR="00C3188D" w:rsidRPr="0091228A">
        <w:rPr>
          <w:rFonts w:cstheme="minorHAnsi"/>
        </w:rPr>
        <w:t xml:space="preserve">ti  </w:t>
      </w:r>
      <w:r w:rsidR="000536C0" w:rsidRPr="0091228A">
        <w:rPr>
          <w:rFonts w:cstheme="minorHAnsi"/>
        </w:rPr>
        <w:t>jednak pristup obrazovanju</w:t>
      </w:r>
      <w:r w:rsidR="00C3188D" w:rsidRPr="0091228A">
        <w:rPr>
          <w:rFonts w:cstheme="minorHAnsi"/>
        </w:rPr>
        <w:t xml:space="preserve"> kroz </w:t>
      </w:r>
      <w:r w:rsidR="000536C0" w:rsidRPr="0091228A">
        <w:rPr>
          <w:rFonts w:cstheme="minorHAnsi"/>
        </w:rPr>
        <w:t>dodatne potpore ranjivim skupinama za sprječavanje neuspjeha u školovanju i usmjeravanje u obrazovanje te  osiguravanje financijske pomoći putem stipendija, prijevoza, prehrane i radnih materijala osobama slabijeg imovinskog stanja.</w:t>
      </w:r>
      <w:r w:rsidR="00C3188D" w:rsidRPr="0091228A">
        <w:rPr>
          <w:rFonts w:cstheme="minorHAnsi"/>
        </w:rPr>
        <w:t xml:space="preserve"> </w:t>
      </w:r>
    </w:p>
    <w:p w14:paraId="3614B2B0" w14:textId="6240A3F1" w:rsidR="000536C0" w:rsidRPr="0091228A" w:rsidRDefault="00D46D8C" w:rsidP="00C3188D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Također, </w:t>
      </w:r>
      <w:r w:rsidR="004F061E" w:rsidRPr="0091228A">
        <w:rPr>
          <w:rFonts w:cstheme="minorHAnsi"/>
        </w:rPr>
        <w:t>p</w:t>
      </w:r>
      <w:r w:rsidR="000536C0" w:rsidRPr="0091228A">
        <w:rPr>
          <w:rFonts w:cstheme="minorHAnsi"/>
        </w:rPr>
        <w:t>otica</w:t>
      </w:r>
      <w:r w:rsidR="00C3188D" w:rsidRPr="0091228A">
        <w:rPr>
          <w:rFonts w:cstheme="minorHAnsi"/>
        </w:rPr>
        <w:t xml:space="preserve">t će se </w:t>
      </w:r>
      <w:r w:rsidR="000536C0" w:rsidRPr="0091228A">
        <w:rPr>
          <w:rFonts w:cstheme="minorHAnsi"/>
        </w:rPr>
        <w:t>razvoj selektivnih oblika turizma</w:t>
      </w:r>
      <w:r w:rsidR="00C3188D" w:rsidRPr="0091228A">
        <w:rPr>
          <w:rFonts w:cstheme="minorHAnsi"/>
        </w:rPr>
        <w:t xml:space="preserve">, </w:t>
      </w:r>
      <w:r w:rsidR="001F6A0F" w:rsidRPr="0091228A">
        <w:rPr>
          <w:rFonts w:cstheme="minorHAnsi"/>
        </w:rPr>
        <w:t>ulagati u</w:t>
      </w:r>
      <w:r w:rsidR="000536C0" w:rsidRPr="0091228A">
        <w:rPr>
          <w:rFonts w:cstheme="minorHAnsi"/>
        </w:rPr>
        <w:t xml:space="preserve"> razvoj i promociju autohtonih turističkih proizvoda BPŽ</w:t>
      </w:r>
      <w:r w:rsidR="0073623F">
        <w:rPr>
          <w:rFonts w:cstheme="minorHAnsi"/>
        </w:rPr>
        <w:t>-a</w:t>
      </w:r>
      <w:r w:rsidR="000536C0" w:rsidRPr="0091228A">
        <w:rPr>
          <w:rFonts w:cstheme="minorHAnsi"/>
        </w:rPr>
        <w:t xml:space="preserve"> </w:t>
      </w:r>
      <w:r w:rsidRPr="0091228A">
        <w:rPr>
          <w:rFonts w:cstheme="minorHAnsi"/>
        </w:rPr>
        <w:t xml:space="preserve">kao i u </w:t>
      </w:r>
      <w:r w:rsidR="001F6A0F" w:rsidRPr="0091228A">
        <w:rPr>
          <w:rFonts w:cstheme="minorHAnsi"/>
        </w:rPr>
        <w:t>uvećanje</w:t>
      </w:r>
      <w:r w:rsidR="000536C0" w:rsidRPr="0091228A">
        <w:rPr>
          <w:rFonts w:cstheme="minorHAnsi"/>
        </w:rPr>
        <w:t xml:space="preserve"> kapaciteta turističkih atrakcija</w:t>
      </w:r>
      <w:r w:rsidRPr="0091228A">
        <w:rPr>
          <w:rFonts w:cstheme="minorHAnsi"/>
        </w:rPr>
        <w:t>. Ujedno</w:t>
      </w:r>
      <w:r w:rsidR="0073623F">
        <w:rPr>
          <w:rFonts w:cstheme="minorHAnsi"/>
        </w:rPr>
        <w:t xml:space="preserve"> će se </w:t>
      </w:r>
      <w:r w:rsidR="000536C0" w:rsidRPr="0091228A">
        <w:rPr>
          <w:rFonts w:cstheme="minorHAnsi"/>
        </w:rPr>
        <w:t>potica</w:t>
      </w:r>
      <w:r w:rsidRPr="0091228A">
        <w:rPr>
          <w:rFonts w:cstheme="minorHAnsi"/>
        </w:rPr>
        <w:t xml:space="preserve">ti </w:t>
      </w:r>
      <w:r w:rsidR="000536C0" w:rsidRPr="0091228A">
        <w:rPr>
          <w:rFonts w:cstheme="minorHAnsi"/>
        </w:rPr>
        <w:t>održivo upravljanj</w:t>
      </w:r>
      <w:r w:rsidRPr="0091228A">
        <w:rPr>
          <w:rFonts w:cstheme="minorHAnsi"/>
        </w:rPr>
        <w:t>e</w:t>
      </w:r>
      <w:r w:rsidR="000536C0" w:rsidRPr="0091228A">
        <w:rPr>
          <w:rFonts w:cstheme="minorHAnsi"/>
        </w:rPr>
        <w:t xml:space="preserve"> turističko-ugostiteljskim sadržajima te </w:t>
      </w:r>
      <w:r w:rsidRPr="0091228A">
        <w:rPr>
          <w:rFonts w:cstheme="minorHAnsi"/>
        </w:rPr>
        <w:t>osnaživati  k</w:t>
      </w:r>
      <w:r w:rsidR="000536C0" w:rsidRPr="0091228A">
        <w:rPr>
          <w:rFonts w:cstheme="minorHAnsi"/>
        </w:rPr>
        <w:t>valitet</w:t>
      </w:r>
      <w:r w:rsidRPr="0091228A">
        <w:rPr>
          <w:rFonts w:cstheme="minorHAnsi"/>
        </w:rPr>
        <w:t>a</w:t>
      </w:r>
      <w:r w:rsidR="000536C0" w:rsidRPr="0091228A">
        <w:rPr>
          <w:rFonts w:cstheme="minorHAnsi"/>
        </w:rPr>
        <w:t xml:space="preserve"> turističkih usluga i proizvoda.</w:t>
      </w:r>
    </w:p>
    <w:p w14:paraId="5775D05C" w14:textId="77777777" w:rsidR="007510FD" w:rsidRPr="001166C1" w:rsidRDefault="007510FD" w:rsidP="00C3188D">
      <w:pPr>
        <w:jc w:val="both"/>
        <w:rPr>
          <w:rFonts w:cstheme="minorHAnsi"/>
          <w:b/>
        </w:rPr>
      </w:pPr>
    </w:p>
    <w:p w14:paraId="5DC73A27" w14:textId="3C0AF3F7" w:rsidR="000536C0" w:rsidRPr="0091228A" w:rsidRDefault="007510FD" w:rsidP="00DF4171">
      <w:pPr>
        <w:jc w:val="both"/>
        <w:rPr>
          <w:rFonts w:cstheme="minorHAnsi"/>
        </w:rPr>
      </w:pPr>
      <w:r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P</w:t>
      </w:r>
      <w:r w:rsidR="000536C0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rioritet</w:t>
      </w:r>
      <w:r w:rsidR="002B7783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om</w:t>
      </w:r>
      <w:r w:rsidR="000536C0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D2117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2</w:t>
      </w:r>
      <w:r w:rsidR="0052782D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- </w:t>
      </w:r>
      <w:r w:rsidR="000536C0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Demografska revitalizacija</w:t>
      </w:r>
      <w:r w:rsidR="0073623F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,</w:t>
      </w:r>
      <w:r w:rsidR="000536C0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 kvalitetan život</w:t>
      </w:r>
      <w:r w:rsidR="002B7783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i sigurnost za stabilan razvoj </w:t>
      </w:r>
      <w:r w:rsidR="002B7783" w:rsidRPr="0091228A">
        <w:rPr>
          <w:rFonts w:cstheme="minorHAnsi"/>
        </w:rPr>
        <w:t>poticat će se u</w:t>
      </w:r>
      <w:r w:rsidR="003903DF" w:rsidRPr="0091228A">
        <w:rPr>
          <w:rFonts w:cstheme="minorHAnsi"/>
        </w:rPr>
        <w:t>blažavanje</w:t>
      </w:r>
      <w:r w:rsidR="002B7783" w:rsidRPr="0091228A">
        <w:rPr>
          <w:rFonts w:cstheme="minorHAnsi"/>
        </w:rPr>
        <w:t xml:space="preserve"> slabosti</w:t>
      </w:r>
      <w:r w:rsidR="00C8161E" w:rsidRPr="0091228A">
        <w:rPr>
          <w:rFonts w:cstheme="minorHAnsi"/>
        </w:rPr>
        <w:t xml:space="preserve"> poput </w:t>
      </w:r>
      <w:r w:rsidR="00DF4171" w:rsidRPr="0091228A">
        <w:rPr>
          <w:rFonts w:cstheme="minorHAnsi"/>
        </w:rPr>
        <w:t xml:space="preserve">starenja i iseljavanja stanovništva, depopulacije mladih, nedovoljnih i neadekvatnih kapaciteta za skrb o starijim i nemoćnima te niskog </w:t>
      </w:r>
      <w:r w:rsidR="00A46C75">
        <w:rPr>
          <w:rFonts w:cstheme="minorHAnsi"/>
        </w:rPr>
        <w:t xml:space="preserve">životnog </w:t>
      </w:r>
      <w:r w:rsidR="00DF4171" w:rsidRPr="0091228A">
        <w:rPr>
          <w:rFonts w:cstheme="minorHAnsi"/>
        </w:rPr>
        <w:t>standarda stanovništva ruralnih područja</w:t>
      </w:r>
      <w:r w:rsidR="00D3657F" w:rsidRPr="0091228A">
        <w:rPr>
          <w:rFonts w:cstheme="minorHAnsi"/>
        </w:rPr>
        <w:t xml:space="preserve">. </w:t>
      </w:r>
      <w:r w:rsidR="004F061E" w:rsidRPr="0091228A">
        <w:rPr>
          <w:rFonts w:cstheme="minorHAnsi"/>
        </w:rPr>
        <w:t xml:space="preserve"> </w:t>
      </w:r>
      <w:r w:rsidR="002B7783" w:rsidRPr="0091228A">
        <w:rPr>
          <w:rFonts w:cstheme="minorHAnsi"/>
        </w:rPr>
        <w:t xml:space="preserve">Nastojanja </w:t>
      </w:r>
      <w:r w:rsidR="00D3657F" w:rsidRPr="0091228A">
        <w:rPr>
          <w:rFonts w:cstheme="minorHAnsi"/>
        </w:rPr>
        <w:t xml:space="preserve">će biti </w:t>
      </w:r>
      <w:r w:rsidR="002B7783" w:rsidRPr="0091228A">
        <w:rPr>
          <w:rFonts w:cstheme="minorHAnsi"/>
        </w:rPr>
        <w:t>usmjerena na osiguranje d</w:t>
      </w:r>
      <w:r w:rsidR="000536C0" w:rsidRPr="0091228A">
        <w:rPr>
          <w:rFonts w:cstheme="minorHAnsi"/>
        </w:rPr>
        <w:t>emografsk</w:t>
      </w:r>
      <w:r w:rsidR="002B7783" w:rsidRPr="0091228A">
        <w:rPr>
          <w:rFonts w:cstheme="minorHAnsi"/>
        </w:rPr>
        <w:t>og</w:t>
      </w:r>
      <w:r w:rsidR="000536C0" w:rsidRPr="0091228A">
        <w:rPr>
          <w:rFonts w:cstheme="minorHAnsi"/>
        </w:rPr>
        <w:t xml:space="preserve"> rast</w:t>
      </w:r>
      <w:r w:rsidR="002B7783" w:rsidRPr="0091228A">
        <w:rPr>
          <w:rFonts w:cstheme="minorHAnsi"/>
        </w:rPr>
        <w:t>a</w:t>
      </w:r>
      <w:r w:rsidR="000536C0" w:rsidRPr="0091228A">
        <w:rPr>
          <w:rFonts w:cstheme="minorHAnsi"/>
        </w:rPr>
        <w:t xml:space="preserve"> i aktivno</w:t>
      </w:r>
      <w:r w:rsidR="002B7783" w:rsidRPr="0091228A">
        <w:rPr>
          <w:rFonts w:cstheme="minorHAnsi"/>
        </w:rPr>
        <w:t>g</w:t>
      </w:r>
      <w:r w:rsidR="000536C0" w:rsidRPr="0091228A">
        <w:rPr>
          <w:rFonts w:cstheme="minorHAnsi"/>
        </w:rPr>
        <w:t xml:space="preserve"> življenj</w:t>
      </w:r>
      <w:r w:rsidR="002B7783" w:rsidRPr="0091228A">
        <w:rPr>
          <w:rFonts w:cstheme="minorHAnsi"/>
        </w:rPr>
        <w:t>a, u</w:t>
      </w:r>
      <w:r w:rsidR="000536C0" w:rsidRPr="0091228A">
        <w:rPr>
          <w:rFonts w:cstheme="minorHAnsi"/>
        </w:rPr>
        <w:t>laganj</w:t>
      </w:r>
      <w:r w:rsidR="00D3657F" w:rsidRPr="0091228A">
        <w:rPr>
          <w:rFonts w:cstheme="minorHAnsi"/>
        </w:rPr>
        <w:t xml:space="preserve">a </w:t>
      </w:r>
      <w:r w:rsidR="000536C0" w:rsidRPr="0091228A">
        <w:rPr>
          <w:rFonts w:cstheme="minorHAnsi"/>
        </w:rPr>
        <w:t xml:space="preserve">u zdravstvenu </w:t>
      </w:r>
      <w:r w:rsidR="00A46C75">
        <w:rPr>
          <w:rFonts w:cstheme="minorHAnsi"/>
        </w:rPr>
        <w:t xml:space="preserve">i </w:t>
      </w:r>
      <w:r w:rsidR="000536C0" w:rsidRPr="0091228A">
        <w:rPr>
          <w:rFonts w:cstheme="minorHAnsi"/>
        </w:rPr>
        <w:t>socijalnu skrb</w:t>
      </w:r>
      <w:r w:rsidR="002B7783" w:rsidRPr="0091228A">
        <w:rPr>
          <w:rFonts w:cstheme="minorHAnsi"/>
        </w:rPr>
        <w:t xml:space="preserve"> </w:t>
      </w:r>
      <w:r w:rsidR="00D3657F" w:rsidRPr="0091228A">
        <w:rPr>
          <w:rFonts w:cstheme="minorHAnsi"/>
        </w:rPr>
        <w:t xml:space="preserve"> te </w:t>
      </w:r>
      <w:r w:rsidR="000536C0" w:rsidRPr="0091228A">
        <w:rPr>
          <w:rFonts w:cstheme="minorHAnsi"/>
        </w:rPr>
        <w:t xml:space="preserve"> u kulturu</w:t>
      </w:r>
      <w:r w:rsidR="002B7783" w:rsidRPr="0091228A">
        <w:rPr>
          <w:rFonts w:cstheme="minorHAnsi"/>
        </w:rPr>
        <w:t>.</w:t>
      </w:r>
    </w:p>
    <w:p w14:paraId="55C4E2D4" w14:textId="0FDADD23" w:rsidR="00D3657F" w:rsidRPr="0091228A" w:rsidRDefault="000536C0" w:rsidP="0052782D">
      <w:pPr>
        <w:jc w:val="both"/>
        <w:rPr>
          <w:rFonts w:cstheme="minorHAnsi"/>
        </w:rPr>
      </w:pPr>
      <w:r w:rsidRPr="0091228A">
        <w:rPr>
          <w:rFonts w:cstheme="minorHAnsi"/>
        </w:rPr>
        <w:t>Osigura</w:t>
      </w:r>
      <w:r w:rsidR="002B7783" w:rsidRPr="0091228A">
        <w:rPr>
          <w:rFonts w:cstheme="minorHAnsi"/>
        </w:rPr>
        <w:t>t će se podrška</w:t>
      </w:r>
      <w:r w:rsidRPr="0091228A">
        <w:rPr>
          <w:rFonts w:cstheme="minorHAnsi"/>
        </w:rPr>
        <w:t xml:space="preserve"> obiteljima </w:t>
      </w:r>
      <w:r w:rsidR="00E95808" w:rsidRPr="0091228A">
        <w:rPr>
          <w:rFonts w:cstheme="minorHAnsi"/>
        </w:rPr>
        <w:t xml:space="preserve"> </w:t>
      </w:r>
      <w:r w:rsidRPr="0091228A">
        <w:rPr>
          <w:rFonts w:cstheme="minorHAnsi"/>
        </w:rPr>
        <w:t>s djecom, potica</w:t>
      </w:r>
      <w:r w:rsidR="002B7783" w:rsidRPr="0091228A">
        <w:rPr>
          <w:rFonts w:cstheme="minorHAnsi"/>
        </w:rPr>
        <w:t>ti</w:t>
      </w:r>
      <w:r w:rsidRPr="0091228A">
        <w:rPr>
          <w:rFonts w:cstheme="minorHAnsi"/>
        </w:rPr>
        <w:t xml:space="preserve"> kvalitetn</w:t>
      </w:r>
      <w:r w:rsidR="002B7783" w:rsidRPr="0091228A">
        <w:rPr>
          <w:rFonts w:cstheme="minorHAnsi"/>
        </w:rPr>
        <w:t>a</w:t>
      </w:r>
      <w:r w:rsidRPr="0091228A">
        <w:rPr>
          <w:rFonts w:cstheme="minorHAnsi"/>
        </w:rPr>
        <w:t xml:space="preserve"> i sveobuhvatn</w:t>
      </w:r>
      <w:r w:rsidR="002B7783" w:rsidRPr="0091228A">
        <w:rPr>
          <w:rFonts w:cstheme="minorHAnsi"/>
        </w:rPr>
        <w:t>a zdravstvena zaštit</w:t>
      </w:r>
      <w:r w:rsidR="00A46C75">
        <w:rPr>
          <w:rFonts w:cstheme="minorHAnsi"/>
        </w:rPr>
        <w:t>a</w:t>
      </w:r>
      <w:r w:rsidR="002B7783" w:rsidRPr="0091228A">
        <w:rPr>
          <w:rFonts w:cstheme="minorHAnsi"/>
        </w:rPr>
        <w:t xml:space="preserve"> majke i djeteta </w:t>
      </w:r>
      <w:r w:rsidR="00A46C75">
        <w:rPr>
          <w:rFonts w:cstheme="minorHAnsi"/>
        </w:rPr>
        <w:t>te</w:t>
      </w:r>
      <w:r w:rsidR="002B7783" w:rsidRPr="0091228A">
        <w:rPr>
          <w:rFonts w:cstheme="minorHAnsi"/>
        </w:rPr>
        <w:t xml:space="preserve"> fleksibilnog</w:t>
      </w:r>
      <w:r w:rsidRPr="0091228A">
        <w:rPr>
          <w:rFonts w:cstheme="minorHAnsi"/>
        </w:rPr>
        <w:t xml:space="preserve"> radnog vremena za majke</w:t>
      </w:r>
      <w:r w:rsidR="00A46C75">
        <w:rPr>
          <w:rFonts w:cstheme="minorHAnsi"/>
        </w:rPr>
        <w:t>.</w:t>
      </w:r>
      <w:r w:rsidR="002B7783" w:rsidRPr="0091228A">
        <w:rPr>
          <w:rFonts w:cstheme="minorHAnsi"/>
        </w:rPr>
        <w:t xml:space="preserve"> </w:t>
      </w:r>
      <w:r w:rsidR="00A46C75">
        <w:rPr>
          <w:rFonts w:cstheme="minorHAnsi"/>
        </w:rPr>
        <w:t>N</w:t>
      </w:r>
      <w:r w:rsidR="002B7783" w:rsidRPr="0091228A">
        <w:rPr>
          <w:rFonts w:cstheme="minorHAnsi"/>
        </w:rPr>
        <w:t>astojanja</w:t>
      </w:r>
      <w:r w:rsidR="00D3657F" w:rsidRPr="0091228A">
        <w:rPr>
          <w:rFonts w:cstheme="minorHAnsi"/>
        </w:rPr>
        <w:t xml:space="preserve"> će</w:t>
      </w:r>
      <w:r w:rsidR="00A46C75">
        <w:rPr>
          <w:rFonts w:cstheme="minorHAnsi"/>
        </w:rPr>
        <w:t xml:space="preserve">, također, </w:t>
      </w:r>
      <w:r w:rsidR="00D3657F" w:rsidRPr="0091228A">
        <w:rPr>
          <w:rFonts w:cstheme="minorHAnsi"/>
        </w:rPr>
        <w:t xml:space="preserve">biti  </w:t>
      </w:r>
      <w:r w:rsidR="002B7783" w:rsidRPr="0091228A">
        <w:rPr>
          <w:rFonts w:cstheme="minorHAnsi"/>
        </w:rPr>
        <w:t>usmjerena na z</w:t>
      </w:r>
      <w:r w:rsidR="0052782D" w:rsidRPr="0091228A">
        <w:rPr>
          <w:rFonts w:cstheme="minorHAnsi"/>
        </w:rPr>
        <w:t>austavljanje iseljavanja mladih o</w:t>
      </w:r>
      <w:r w:rsidRPr="0091228A">
        <w:rPr>
          <w:rFonts w:cstheme="minorHAnsi"/>
        </w:rPr>
        <w:t>mogućavanje</w:t>
      </w:r>
      <w:r w:rsidR="00A46C75">
        <w:rPr>
          <w:rFonts w:cstheme="minorHAnsi"/>
        </w:rPr>
        <w:t>m</w:t>
      </w:r>
      <w:r w:rsidRPr="0091228A">
        <w:rPr>
          <w:rFonts w:cstheme="minorHAnsi"/>
        </w:rPr>
        <w:t xml:space="preserve"> kvalitetnije skrbi o mladim obiteljima s djecom, poticanje</w:t>
      </w:r>
      <w:r w:rsidR="00A46C75">
        <w:rPr>
          <w:rFonts w:cstheme="minorHAnsi"/>
        </w:rPr>
        <w:t>m</w:t>
      </w:r>
      <w:r w:rsidRPr="0091228A">
        <w:rPr>
          <w:rFonts w:cstheme="minorHAnsi"/>
        </w:rPr>
        <w:t xml:space="preserve"> otvaranja radnih mjesta za mlade i obrazovane stanovnike, stamben</w:t>
      </w:r>
      <w:r w:rsidR="00A46C75">
        <w:rPr>
          <w:rFonts w:cstheme="minorHAnsi"/>
        </w:rPr>
        <w:t>im</w:t>
      </w:r>
      <w:r w:rsidRPr="0091228A">
        <w:rPr>
          <w:rFonts w:cstheme="minorHAnsi"/>
        </w:rPr>
        <w:t xml:space="preserve"> zbrinjavanje</w:t>
      </w:r>
      <w:r w:rsidR="00A46C75">
        <w:rPr>
          <w:rFonts w:cstheme="minorHAnsi"/>
        </w:rPr>
        <w:t>m</w:t>
      </w:r>
      <w:r w:rsidRPr="0091228A">
        <w:rPr>
          <w:rFonts w:cstheme="minorHAnsi"/>
        </w:rPr>
        <w:t xml:space="preserve"> mladih obitelji </w:t>
      </w:r>
      <w:r w:rsidR="00A46C75">
        <w:rPr>
          <w:rFonts w:cstheme="minorHAnsi"/>
        </w:rPr>
        <w:t>te</w:t>
      </w:r>
      <w:r w:rsidRPr="0091228A">
        <w:rPr>
          <w:rFonts w:cstheme="minorHAnsi"/>
        </w:rPr>
        <w:t xml:space="preserve"> povećanje</w:t>
      </w:r>
      <w:r w:rsidR="00A46C75">
        <w:rPr>
          <w:rFonts w:cstheme="minorHAnsi"/>
        </w:rPr>
        <w:t>m</w:t>
      </w:r>
      <w:r w:rsidRPr="0091228A">
        <w:rPr>
          <w:rFonts w:cstheme="minorHAnsi"/>
        </w:rPr>
        <w:t xml:space="preserve"> stambenog fonda u javnom vlasništvu za najam mladim obiteljima.</w:t>
      </w:r>
      <w:r w:rsidR="00DF4171" w:rsidRPr="0091228A">
        <w:rPr>
          <w:rFonts w:cstheme="minorHAnsi"/>
        </w:rPr>
        <w:t xml:space="preserve"> </w:t>
      </w:r>
      <w:r w:rsidRPr="0091228A">
        <w:rPr>
          <w:rFonts w:cstheme="minorHAnsi"/>
        </w:rPr>
        <w:t xml:space="preserve"> </w:t>
      </w:r>
    </w:p>
    <w:p w14:paraId="375F516C" w14:textId="0DAB3187" w:rsidR="000536C0" w:rsidRPr="0091228A" w:rsidRDefault="000536C0" w:rsidP="0052782D">
      <w:pPr>
        <w:jc w:val="both"/>
        <w:rPr>
          <w:rFonts w:cstheme="minorHAnsi"/>
        </w:rPr>
      </w:pPr>
      <w:r w:rsidRPr="0091228A">
        <w:rPr>
          <w:rFonts w:cstheme="minorHAnsi"/>
        </w:rPr>
        <w:t>Povećanje dostupnosti i kvalitete usluga u sustavu zdravstvene skrbi</w:t>
      </w:r>
      <w:r w:rsidR="0052782D" w:rsidRPr="0091228A">
        <w:rPr>
          <w:rFonts w:cstheme="minorHAnsi"/>
        </w:rPr>
        <w:t xml:space="preserve"> ostvarit će se </w:t>
      </w:r>
      <w:r w:rsidR="00D3657F" w:rsidRPr="0091228A">
        <w:rPr>
          <w:rFonts w:cstheme="minorHAnsi"/>
        </w:rPr>
        <w:t>provedbom</w:t>
      </w:r>
      <w:r w:rsidRPr="0091228A">
        <w:rPr>
          <w:rFonts w:cstheme="minorHAnsi"/>
        </w:rPr>
        <w:t xml:space="preserve"> i održavanje</w:t>
      </w:r>
      <w:r w:rsidR="0052782D" w:rsidRPr="0091228A">
        <w:rPr>
          <w:rFonts w:cstheme="minorHAnsi"/>
        </w:rPr>
        <w:t>m</w:t>
      </w:r>
      <w:r w:rsidRPr="0091228A">
        <w:rPr>
          <w:rFonts w:cstheme="minorHAnsi"/>
        </w:rPr>
        <w:t xml:space="preserve"> sustava praćenja i upravljanja kvalitetom zdravstven</w:t>
      </w:r>
      <w:r w:rsidR="0052782D" w:rsidRPr="0091228A">
        <w:rPr>
          <w:rFonts w:cstheme="minorHAnsi"/>
        </w:rPr>
        <w:t>e zaštite i usluga u zdravstvu te u</w:t>
      </w:r>
      <w:r w:rsidRPr="0091228A">
        <w:rPr>
          <w:rFonts w:cstheme="minorHAnsi"/>
        </w:rPr>
        <w:t>dr</w:t>
      </w:r>
      <w:r w:rsidR="0052782D" w:rsidRPr="0091228A">
        <w:rPr>
          <w:rFonts w:cstheme="minorHAnsi"/>
        </w:rPr>
        <w:t>uži</w:t>
      </w:r>
      <w:r w:rsidRPr="0091228A">
        <w:rPr>
          <w:rFonts w:cstheme="minorHAnsi"/>
        </w:rPr>
        <w:t>vanje</w:t>
      </w:r>
      <w:r w:rsidR="0052782D" w:rsidRPr="0091228A">
        <w:rPr>
          <w:rFonts w:cstheme="minorHAnsi"/>
        </w:rPr>
        <w:t>m</w:t>
      </w:r>
      <w:r w:rsidRPr="0091228A">
        <w:rPr>
          <w:rFonts w:cstheme="minorHAnsi"/>
        </w:rPr>
        <w:t xml:space="preserve"> i unapređenje</w:t>
      </w:r>
      <w:r w:rsidR="0052782D" w:rsidRPr="0091228A">
        <w:rPr>
          <w:rFonts w:cstheme="minorHAnsi"/>
        </w:rPr>
        <w:t>m</w:t>
      </w:r>
      <w:r w:rsidRPr="0091228A">
        <w:rPr>
          <w:rFonts w:cstheme="minorHAnsi"/>
        </w:rPr>
        <w:t xml:space="preserve"> kvalitete zdravstvenih usluga na svim razinama. </w:t>
      </w:r>
      <w:r w:rsidR="0052782D" w:rsidRPr="0091228A">
        <w:rPr>
          <w:rFonts w:cstheme="minorHAnsi"/>
        </w:rPr>
        <w:t>Provest će se d</w:t>
      </w:r>
      <w:r w:rsidRPr="0091228A">
        <w:rPr>
          <w:rFonts w:cstheme="minorHAnsi"/>
        </w:rPr>
        <w:t>igitalizacija zdravstvenog sustava i</w:t>
      </w:r>
      <w:r w:rsidR="0052782D" w:rsidRPr="0091228A">
        <w:rPr>
          <w:rFonts w:cstheme="minorHAnsi"/>
        </w:rPr>
        <w:t xml:space="preserve"> raditi na </w:t>
      </w:r>
      <w:r w:rsidRPr="0091228A">
        <w:rPr>
          <w:rFonts w:cstheme="minorHAnsi"/>
        </w:rPr>
        <w:t xml:space="preserve"> unapređenj</w:t>
      </w:r>
      <w:r w:rsidR="0052782D" w:rsidRPr="0091228A">
        <w:rPr>
          <w:rFonts w:cstheme="minorHAnsi"/>
        </w:rPr>
        <w:t>u</w:t>
      </w:r>
      <w:r w:rsidRPr="0091228A">
        <w:rPr>
          <w:rFonts w:cstheme="minorHAnsi"/>
        </w:rPr>
        <w:t xml:space="preserve"> palijativne skrbi.</w:t>
      </w:r>
      <w:r w:rsidR="0052782D" w:rsidRPr="0091228A">
        <w:rPr>
          <w:rFonts w:cstheme="minorHAnsi"/>
        </w:rPr>
        <w:t xml:space="preserve"> Također</w:t>
      </w:r>
      <w:r w:rsidR="0063605A">
        <w:rPr>
          <w:rFonts w:cstheme="minorHAnsi"/>
        </w:rPr>
        <w:t xml:space="preserve"> će se</w:t>
      </w:r>
      <w:r w:rsidR="0052782D" w:rsidRPr="0091228A">
        <w:rPr>
          <w:rFonts w:cstheme="minorHAnsi"/>
        </w:rPr>
        <w:t xml:space="preserve"> povećati </w:t>
      </w:r>
      <w:r w:rsidRPr="0091228A">
        <w:rPr>
          <w:rFonts w:cstheme="minorHAnsi"/>
        </w:rPr>
        <w:t>dostupnost i kvalitet</w:t>
      </w:r>
      <w:r w:rsidR="0052782D" w:rsidRPr="0091228A">
        <w:rPr>
          <w:rFonts w:cstheme="minorHAnsi"/>
        </w:rPr>
        <w:t>a</w:t>
      </w:r>
      <w:r w:rsidRPr="0091228A">
        <w:rPr>
          <w:rFonts w:cstheme="minorHAnsi"/>
        </w:rPr>
        <w:t xml:space="preserve"> usluga u sustavu socijalne skrbi</w:t>
      </w:r>
      <w:r w:rsidR="0052782D" w:rsidRPr="0091228A">
        <w:rPr>
          <w:rFonts w:cstheme="minorHAnsi"/>
        </w:rPr>
        <w:t>, o</w:t>
      </w:r>
      <w:r w:rsidRPr="0091228A">
        <w:rPr>
          <w:rFonts w:cstheme="minorHAnsi"/>
        </w:rPr>
        <w:t>sigura</w:t>
      </w:r>
      <w:r w:rsidR="0052782D" w:rsidRPr="0091228A">
        <w:rPr>
          <w:rFonts w:cstheme="minorHAnsi"/>
        </w:rPr>
        <w:t>ti</w:t>
      </w:r>
      <w:r w:rsidRPr="0091228A">
        <w:rPr>
          <w:rFonts w:cstheme="minorHAnsi"/>
        </w:rPr>
        <w:t xml:space="preserve"> dostupnost primjerene zdravstvene i socijalne skrbi za starije i nemoćne osobe</w:t>
      </w:r>
      <w:r w:rsidR="00E95808" w:rsidRPr="0091228A">
        <w:rPr>
          <w:rFonts w:cstheme="minorHAnsi"/>
        </w:rPr>
        <w:t xml:space="preserve"> te </w:t>
      </w:r>
      <w:r w:rsidRPr="0091228A">
        <w:rPr>
          <w:rFonts w:cstheme="minorHAnsi"/>
        </w:rPr>
        <w:t xml:space="preserve"> izgrad</w:t>
      </w:r>
      <w:r w:rsidR="0052782D" w:rsidRPr="0091228A">
        <w:rPr>
          <w:rFonts w:cstheme="minorHAnsi"/>
        </w:rPr>
        <w:t xml:space="preserve">iti,  </w:t>
      </w:r>
      <w:r w:rsidRPr="0091228A">
        <w:rPr>
          <w:rFonts w:cstheme="minorHAnsi"/>
        </w:rPr>
        <w:t>dograd</w:t>
      </w:r>
      <w:r w:rsidR="0052782D" w:rsidRPr="0091228A">
        <w:rPr>
          <w:rFonts w:cstheme="minorHAnsi"/>
        </w:rPr>
        <w:t xml:space="preserve">iti i </w:t>
      </w:r>
      <w:r w:rsidRPr="0091228A">
        <w:rPr>
          <w:rFonts w:cstheme="minorHAnsi"/>
        </w:rPr>
        <w:t>oprem</w:t>
      </w:r>
      <w:r w:rsidR="0052782D" w:rsidRPr="0091228A">
        <w:rPr>
          <w:rFonts w:cstheme="minorHAnsi"/>
        </w:rPr>
        <w:t>iti</w:t>
      </w:r>
      <w:r w:rsidRPr="0091228A">
        <w:rPr>
          <w:rFonts w:cstheme="minorHAnsi"/>
        </w:rPr>
        <w:t xml:space="preserve"> institucij</w:t>
      </w:r>
      <w:r w:rsidR="0052782D" w:rsidRPr="0091228A">
        <w:rPr>
          <w:rFonts w:cstheme="minorHAnsi"/>
        </w:rPr>
        <w:t>e</w:t>
      </w:r>
      <w:r w:rsidRPr="0091228A">
        <w:rPr>
          <w:rFonts w:cstheme="minorHAnsi"/>
        </w:rPr>
        <w:t xml:space="preserve"> koje pružaju socijalnu skrb</w:t>
      </w:r>
      <w:r w:rsidR="00D3657F" w:rsidRPr="0091228A">
        <w:rPr>
          <w:rFonts w:cstheme="minorHAnsi"/>
        </w:rPr>
        <w:t xml:space="preserve">. </w:t>
      </w:r>
    </w:p>
    <w:p w14:paraId="5EC36690" w14:textId="7B97CE66" w:rsidR="000536C0" w:rsidRPr="0091228A" w:rsidRDefault="0052782D" w:rsidP="0052782D">
      <w:pPr>
        <w:jc w:val="both"/>
        <w:rPr>
          <w:rFonts w:cstheme="minorHAnsi"/>
        </w:rPr>
      </w:pPr>
      <w:r w:rsidRPr="0091228A">
        <w:rPr>
          <w:rFonts w:cstheme="minorHAnsi"/>
        </w:rPr>
        <w:t>Op</w:t>
      </w:r>
      <w:r w:rsidR="000536C0" w:rsidRPr="0091228A">
        <w:rPr>
          <w:rFonts w:cstheme="minorHAnsi"/>
        </w:rPr>
        <w:t>rem</w:t>
      </w:r>
      <w:r w:rsidRPr="0091228A">
        <w:rPr>
          <w:rFonts w:cstheme="minorHAnsi"/>
        </w:rPr>
        <w:t xml:space="preserve">it će se </w:t>
      </w:r>
      <w:r w:rsidR="000536C0" w:rsidRPr="0091228A">
        <w:rPr>
          <w:rFonts w:cstheme="minorHAnsi"/>
        </w:rPr>
        <w:t>institucij</w:t>
      </w:r>
      <w:r w:rsidRPr="0091228A">
        <w:rPr>
          <w:rFonts w:cstheme="minorHAnsi"/>
        </w:rPr>
        <w:t>e</w:t>
      </w:r>
      <w:r w:rsidR="000536C0" w:rsidRPr="0091228A">
        <w:rPr>
          <w:rFonts w:cstheme="minorHAnsi"/>
        </w:rPr>
        <w:t xml:space="preserve"> u kulturi i zaštit</w:t>
      </w:r>
      <w:r w:rsidRPr="0091228A">
        <w:rPr>
          <w:rFonts w:cstheme="minorHAnsi"/>
        </w:rPr>
        <w:t xml:space="preserve">iti, obnoviti </w:t>
      </w:r>
      <w:r w:rsidR="000536C0" w:rsidRPr="0091228A">
        <w:rPr>
          <w:rFonts w:cstheme="minorHAnsi"/>
        </w:rPr>
        <w:t>i revitaliz</w:t>
      </w:r>
      <w:r w:rsidRPr="0091228A">
        <w:rPr>
          <w:rFonts w:cstheme="minorHAnsi"/>
        </w:rPr>
        <w:t xml:space="preserve">irati </w:t>
      </w:r>
      <w:r w:rsidR="000536C0" w:rsidRPr="0091228A">
        <w:rPr>
          <w:rFonts w:cstheme="minorHAnsi"/>
        </w:rPr>
        <w:t>objek</w:t>
      </w:r>
      <w:r w:rsidRPr="0091228A">
        <w:rPr>
          <w:rFonts w:cstheme="minorHAnsi"/>
        </w:rPr>
        <w:t>ti</w:t>
      </w:r>
      <w:r w:rsidR="000536C0" w:rsidRPr="0091228A">
        <w:rPr>
          <w:rFonts w:cstheme="minorHAnsi"/>
        </w:rPr>
        <w:t xml:space="preserve"> kulturne baštine te </w:t>
      </w:r>
      <w:r w:rsidRPr="0091228A">
        <w:rPr>
          <w:rFonts w:cstheme="minorHAnsi"/>
        </w:rPr>
        <w:t xml:space="preserve">osigurati </w:t>
      </w:r>
      <w:r w:rsidR="000536C0" w:rsidRPr="0091228A">
        <w:rPr>
          <w:rFonts w:cstheme="minorHAnsi"/>
        </w:rPr>
        <w:t>ulaganja u izgradnju, obnovu, rekonstrukciju i opremanje ustanova u kulturi.</w:t>
      </w:r>
    </w:p>
    <w:p w14:paraId="09428359" w14:textId="09D60E67" w:rsidR="000536C0" w:rsidRPr="0091228A" w:rsidRDefault="000536C0" w:rsidP="0052782D">
      <w:pPr>
        <w:jc w:val="both"/>
        <w:rPr>
          <w:rFonts w:cstheme="minorHAnsi"/>
        </w:rPr>
      </w:pPr>
      <w:r w:rsidRPr="0091228A">
        <w:rPr>
          <w:rFonts w:cstheme="minorHAnsi"/>
        </w:rPr>
        <w:t>Podrška kulturno umjetničkim programima i radu kulturnih društava</w:t>
      </w:r>
      <w:r w:rsidR="0052782D" w:rsidRPr="0091228A">
        <w:rPr>
          <w:rFonts w:cstheme="minorHAnsi"/>
        </w:rPr>
        <w:t xml:space="preserve"> omogućiti će j</w:t>
      </w:r>
      <w:r w:rsidRPr="0091228A">
        <w:rPr>
          <w:rFonts w:cstheme="minorHAnsi"/>
        </w:rPr>
        <w:t xml:space="preserve">ačanje kapaciteta i osnaživanje kulturnih društava i kulturno umjetničkih programa, jačanje svijesti o važnosti kulturno umjetničkih programa i rada kulturnih društava za očuvanje tradicionalnih običaja i identiteta, promoviranje kulturno umjetničkih programa i kulturnih društava,  poticanje zapošljavanja u kulturnim djelatnostima i poticanje umrežavanja kulturnih društava </w:t>
      </w:r>
      <w:r w:rsidR="0063605A">
        <w:rPr>
          <w:rFonts w:cstheme="minorHAnsi"/>
        </w:rPr>
        <w:t xml:space="preserve">kako </w:t>
      </w:r>
      <w:r w:rsidRPr="0091228A">
        <w:rPr>
          <w:rFonts w:cstheme="minorHAnsi"/>
        </w:rPr>
        <w:t>međusobno</w:t>
      </w:r>
      <w:r w:rsidR="0063605A">
        <w:rPr>
          <w:rFonts w:cstheme="minorHAnsi"/>
        </w:rPr>
        <w:t xml:space="preserve"> tako</w:t>
      </w:r>
      <w:r w:rsidRPr="0091228A">
        <w:rPr>
          <w:rFonts w:cstheme="minorHAnsi"/>
        </w:rPr>
        <w:t xml:space="preserve"> i s drugim organizacijama civilnog društva.</w:t>
      </w:r>
    </w:p>
    <w:p w14:paraId="57B5A96C" w14:textId="77777777" w:rsidR="000536C0" w:rsidRPr="001166C1" w:rsidRDefault="000536C0" w:rsidP="000536C0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6F3187FF" w14:textId="053992DE" w:rsidR="000536C0" w:rsidRPr="00917731" w:rsidRDefault="007D2117" w:rsidP="00C8161E">
      <w:pPr>
        <w:jc w:val="both"/>
        <w:rPr>
          <w:rFonts w:cstheme="minorHAnsi"/>
        </w:rPr>
      </w:pPr>
      <w:r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lastRenderedPageBreak/>
        <w:t xml:space="preserve">Razvojni prioritet 3 - </w:t>
      </w:r>
      <w:r w:rsidR="000536C0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Zelena i digitalna tranzicija gospodarstva i društva </w:t>
      </w:r>
      <w:r w:rsidRPr="00917731">
        <w:rPr>
          <w:rFonts w:cstheme="minorHAnsi"/>
        </w:rPr>
        <w:t xml:space="preserve">usmjeren je na </w:t>
      </w:r>
      <w:r w:rsidR="00B62398" w:rsidRPr="00917731">
        <w:rPr>
          <w:rFonts w:cstheme="minorHAnsi"/>
        </w:rPr>
        <w:t>razvoj</w:t>
      </w:r>
      <w:r w:rsidR="000536C0" w:rsidRPr="00917731">
        <w:rPr>
          <w:rFonts w:cstheme="minorHAnsi"/>
        </w:rPr>
        <w:t xml:space="preserve"> </w:t>
      </w:r>
      <w:r w:rsidR="00E95808" w:rsidRPr="00917731">
        <w:rPr>
          <w:rFonts w:cstheme="minorHAnsi"/>
        </w:rPr>
        <w:t xml:space="preserve">tradicionalnih </w:t>
      </w:r>
      <w:r w:rsidR="000536C0" w:rsidRPr="00917731">
        <w:rPr>
          <w:rFonts w:cstheme="minorHAnsi"/>
        </w:rPr>
        <w:t xml:space="preserve"> grana gospodarstva korištenjem zelene i digitalne tranzicije</w:t>
      </w:r>
      <w:r w:rsidRPr="00917731">
        <w:rPr>
          <w:rFonts w:cstheme="minorHAnsi"/>
        </w:rPr>
        <w:t>, r</w:t>
      </w:r>
      <w:r w:rsidR="00B62398" w:rsidRPr="00917731">
        <w:rPr>
          <w:rFonts w:cstheme="minorHAnsi"/>
        </w:rPr>
        <w:t>azvoj bio</w:t>
      </w:r>
      <w:r w:rsidR="00917731" w:rsidRPr="00917731">
        <w:rPr>
          <w:rFonts w:cstheme="minorHAnsi"/>
        </w:rPr>
        <w:t>ekonomije</w:t>
      </w:r>
      <w:r w:rsidRPr="00917731">
        <w:rPr>
          <w:rFonts w:cstheme="minorHAnsi"/>
        </w:rPr>
        <w:t xml:space="preserve"> i i</w:t>
      </w:r>
      <w:r w:rsidR="000536C0" w:rsidRPr="00917731">
        <w:rPr>
          <w:rFonts w:cstheme="minorHAnsi"/>
        </w:rPr>
        <w:t xml:space="preserve">ntenzivno korištenje obnovljivih izvora energije </w:t>
      </w:r>
      <w:r w:rsidR="001F6A0F" w:rsidRPr="00917731">
        <w:rPr>
          <w:rFonts w:cstheme="minorHAnsi"/>
        </w:rPr>
        <w:t>te</w:t>
      </w:r>
      <w:r w:rsidR="000536C0" w:rsidRPr="00917731">
        <w:rPr>
          <w:rFonts w:cstheme="minorHAnsi"/>
        </w:rPr>
        <w:t xml:space="preserve"> podizanje energetske učinkovitosti</w:t>
      </w:r>
      <w:r w:rsidRPr="00917731">
        <w:rPr>
          <w:rFonts w:cstheme="minorHAnsi"/>
        </w:rPr>
        <w:t xml:space="preserve">. </w:t>
      </w:r>
      <w:r w:rsidR="002103DC" w:rsidRPr="00917731">
        <w:rPr>
          <w:rFonts w:cstheme="minorHAnsi"/>
        </w:rPr>
        <w:t>Predviđ</w:t>
      </w:r>
      <w:r w:rsidR="006A78F2" w:rsidRPr="00917731">
        <w:rPr>
          <w:rFonts w:cstheme="minorHAnsi"/>
        </w:rPr>
        <w:t>en je</w:t>
      </w:r>
      <w:r w:rsidR="002103DC" w:rsidRPr="00917731">
        <w:rPr>
          <w:rFonts w:cstheme="minorHAnsi"/>
        </w:rPr>
        <w:t xml:space="preserve"> nastavak ulaganja u </w:t>
      </w:r>
      <w:r w:rsidR="000536C0" w:rsidRPr="00917731">
        <w:rPr>
          <w:rFonts w:cstheme="minorHAnsi"/>
        </w:rPr>
        <w:t xml:space="preserve">razvoj komunalne, prometne i društvene infrastrukture </w:t>
      </w:r>
      <w:r w:rsidR="002103DC" w:rsidRPr="00917731">
        <w:rPr>
          <w:rFonts w:cstheme="minorHAnsi"/>
        </w:rPr>
        <w:t>kroz p</w:t>
      </w:r>
      <w:r w:rsidR="000536C0" w:rsidRPr="00917731">
        <w:rPr>
          <w:rFonts w:cstheme="minorHAnsi"/>
        </w:rPr>
        <w:t>ri</w:t>
      </w:r>
      <w:r w:rsidR="002103DC" w:rsidRPr="00917731">
        <w:rPr>
          <w:rFonts w:cstheme="minorHAnsi"/>
        </w:rPr>
        <w:t>vlačenje investicija i promociju</w:t>
      </w:r>
      <w:r w:rsidR="000536C0" w:rsidRPr="00917731">
        <w:rPr>
          <w:rFonts w:cstheme="minorHAnsi"/>
        </w:rPr>
        <w:t xml:space="preserve"> BPŽ</w:t>
      </w:r>
      <w:r w:rsidR="00B22A8C" w:rsidRPr="00917731">
        <w:rPr>
          <w:rFonts w:cstheme="minorHAnsi"/>
        </w:rPr>
        <w:t>-a</w:t>
      </w:r>
      <w:r w:rsidR="000536C0" w:rsidRPr="00917731">
        <w:rPr>
          <w:rFonts w:cstheme="minorHAnsi"/>
        </w:rPr>
        <w:t xml:space="preserve"> kao privlačne destinacije za gospodarske subjekte</w:t>
      </w:r>
      <w:r w:rsidR="002103DC" w:rsidRPr="00917731">
        <w:rPr>
          <w:rFonts w:cstheme="minorHAnsi"/>
        </w:rPr>
        <w:t>, p</w:t>
      </w:r>
      <w:r w:rsidR="000536C0" w:rsidRPr="00917731">
        <w:rPr>
          <w:rFonts w:cstheme="minorHAnsi"/>
        </w:rPr>
        <w:t>oticanje informatizacije i digitalizacije poslovanja</w:t>
      </w:r>
      <w:r w:rsidR="006A78F2" w:rsidRPr="00917731">
        <w:rPr>
          <w:rFonts w:cstheme="minorHAnsi"/>
        </w:rPr>
        <w:t xml:space="preserve">. </w:t>
      </w:r>
      <w:r w:rsidR="002103DC" w:rsidRPr="00917731">
        <w:rPr>
          <w:rFonts w:cstheme="minorHAnsi"/>
        </w:rPr>
        <w:t xml:space="preserve"> Također</w:t>
      </w:r>
      <w:r w:rsidR="00B22A8C" w:rsidRPr="00917731">
        <w:rPr>
          <w:rFonts w:cstheme="minorHAnsi"/>
        </w:rPr>
        <w:t xml:space="preserve"> se</w:t>
      </w:r>
      <w:r w:rsidR="002103DC" w:rsidRPr="00917731">
        <w:rPr>
          <w:rFonts w:cstheme="minorHAnsi"/>
        </w:rPr>
        <w:t xml:space="preserve"> naglašava p</w:t>
      </w:r>
      <w:r w:rsidR="000536C0" w:rsidRPr="00917731">
        <w:rPr>
          <w:rFonts w:cstheme="minorHAnsi"/>
        </w:rPr>
        <w:t>oticanje društveno odgovornog poslovanja</w:t>
      </w:r>
      <w:r w:rsidR="00B22A8C" w:rsidRPr="00917731">
        <w:rPr>
          <w:rFonts w:cstheme="minorHAnsi"/>
        </w:rPr>
        <w:t>,</w:t>
      </w:r>
      <w:r w:rsidR="000536C0" w:rsidRPr="00917731">
        <w:rPr>
          <w:rFonts w:cstheme="minorHAnsi"/>
        </w:rPr>
        <w:t xml:space="preserve"> poticanje ulaganja u zaštitu i očuvanje okoliša i korištenje obnovljivih izvora energije, umrežavanje i promoviranje poduzetničkih aktivnosti koj</w:t>
      </w:r>
      <w:r w:rsidR="00B320E7" w:rsidRPr="00917731">
        <w:rPr>
          <w:rFonts w:cstheme="minorHAnsi"/>
        </w:rPr>
        <w:t>e</w:t>
      </w:r>
      <w:r w:rsidR="000536C0" w:rsidRPr="00917731">
        <w:rPr>
          <w:rFonts w:cstheme="minorHAnsi"/>
        </w:rPr>
        <w:t xml:space="preserve"> potiču rast zapošljavanja.</w:t>
      </w:r>
    </w:p>
    <w:p w14:paraId="5A3B33D3" w14:textId="0CC4092C" w:rsidR="000536C0" w:rsidRPr="0091228A" w:rsidRDefault="006A78F2" w:rsidP="00EA0845">
      <w:pPr>
        <w:jc w:val="both"/>
        <w:rPr>
          <w:rFonts w:cstheme="minorHAnsi"/>
        </w:rPr>
      </w:pPr>
      <w:r w:rsidRPr="00917731">
        <w:rPr>
          <w:rFonts w:cstheme="minorHAnsi"/>
        </w:rPr>
        <w:t>S o</w:t>
      </w:r>
      <w:r w:rsidR="002103DC" w:rsidRPr="00917731">
        <w:rPr>
          <w:rFonts w:cstheme="minorHAnsi"/>
        </w:rPr>
        <w:t>bzirom na prirodne resurse planira se nastav</w:t>
      </w:r>
      <w:r w:rsidR="00B320E7" w:rsidRPr="00917731">
        <w:rPr>
          <w:rFonts w:cstheme="minorHAnsi"/>
        </w:rPr>
        <w:t>iti</w:t>
      </w:r>
      <w:r w:rsidR="002103DC" w:rsidRPr="00917731">
        <w:rPr>
          <w:rFonts w:cstheme="minorHAnsi"/>
        </w:rPr>
        <w:t xml:space="preserve"> potica</w:t>
      </w:r>
      <w:r w:rsidR="00B320E7" w:rsidRPr="00917731">
        <w:rPr>
          <w:rFonts w:cstheme="minorHAnsi"/>
        </w:rPr>
        <w:t>ti</w:t>
      </w:r>
      <w:r w:rsidR="002103DC" w:rsidRPr="00917731">
        <w:rPr>
          <w:rFonts w:cstheme="minorHAnsi"/>
        </w:rPr>
        <w:t xml:space="preserve"> </w:t>
      </w:r>
      <w:r w:rsidR="000536C0" w:rsidRPr="00917731">
        <w:rPr>
          <w:rFonts w:cstheme="minorHAnsi"/>
        </w:rPr>
        <w:t>ulaganja u razvoj bioekonomije</w:t>
      </w:r>
      <w:r w:rsidR="00091130" w:rsidRPr="00917731">
        <w:rPr>
          <w:rFonts w:cstheme="minorHAnsi"/>
        </w:rPr>
        <w:t xml:space="preserve"> </w:t>
      </w:r>
      <w:r w:rsidR="00B320E7" w:rsidRPr="00917731">
        <w:rPr>
          <w:rFonts w:cstheme="minorHAnsi"/>
        </w:rPr>
        <w:t>te</w:t>
      </w:r>
      <w:r w:rsidR="000536C0" w:rsidRPr="00917731">
        <w:rPr>
          <w:rFonts w:cstheme="minorHAnsi"/>
        </w:rPr>
        <w:t xml:space="preserve"> ulaganje u izgradnju i opremanje</w:t>
      </w:r>
      <w:r w:rsidR="002103DC" w:rsidRPr="00917731">
        <w:rPr>
          <w:rFonts w:cstheme="minorHAnsi"/>
        </w:rPr>
        <w:t xml:space="preserve"> </w:t>
      </w:r>
      <w:r w:rsidR="000536C0" w:rsidRPr="00917731">
        <w:rPr>
          <w:rFonts w:cstheme="minorHAnsi"/>
        </w:rPr>
        <w:t>poduzeća/inkubatora/tvornica u poljoprivredi.</w:t>
      </w:r>
      <w:r w:rsidR="002103DC" w:rsidRPr="00917731">
        <w:rPr>
          <w:rFonts w:cstheme="minorHAnsi"/>
        </w:rPr>
        <w:t xml:space="preserve"> Ulagat će se u</w:t>
      </w:r>
      <w:r w:rsidR="002103DC" w:rsidRPr="0091228A">
        <w:rPr>
          <w:rFonts w:cstheme="minorHAnsi"/>
        </w:rPr>
        <w:t xml:space="preserve"> </w:t>
      </w:r>
      <w:r w:rsidR="000536C0" w:rsidRPr="0091228A">
        <w:rPr>
          <w:rFonts w:cstheme="minorHAnsi"/>
        </w:rPr>
        <w:t xml:space="preserve">porast produktivnosti i kvalitete poljoprivrednih proizvoda te </w:t>
      </w:r>
      <w:r w:rsidR="00B320E7">
        <w:rPr>
          <w:rFonts w:cstheme="minorHAnsi"/>
        </w:rPr>
        <w:t xml:space="preserve">u </w:t>
      </w:r>
      <w:r w:rsidR="000536C0" w:rsidRPr="0091228A">
        <w:rPr>
          <w:rFonts w:cstheme="minorHAnsi"/>
        </w:rPr>
        <w:t>razvoj lokalnog tržišta</w:t>
      </w:r>
      <w:r w:rsidR="002103DC" w:rsidRPr="0091228A">
        <w:rPr>
          <w:rFonts w:cstheme="minorHAnsi"/>
        </w:rPr>
        <w:t xml:space="preserve">. Pritom </w:t>
      </w:r>
      <w:r w:rsidRPr="0091228A">
        <w:rPr>
          <w:rFonts w:cstheme="minorHAnsi"/>
        </w:rPr>
        <w:t xml:space="preserve">će </w:t>
      </w:r>
      <w:r w:rsidR="002103DC" w:rsidRPr="0091228A">
        <w:rPr>
          <w:rFonts w:cstheme="minorHAnsi"/>
        </w:rPr>
        <w:t xml:space="preserve">naglasak </w:t>
      </w:r>
      <w:r w:rsidRPr="0091228A">
        <w:rPr>
          <w:rFonts w:cstheme="minorHAnsi"/>
        </w:rPr>
        <w:t xml:space="preserve">biti </w:t>
      </w:r>
      <w:r w:rsidR="002103DC" w:rsidRPr="0091228A">
        <w:rPr>
          <w:rFonts w:cstheme="minorHAnsi"/>
        </w:rPr>
        <w:t xml:space="preserve"> na </w:t>
      </w:r>
      <w:r w:rsidR="000536C0" w:rsidRPr="0091228A">
        <w:rPr>
          <w:rFonts w:cstheme="minorHAnsi"/>
        </w:rPr>
        <w:t>povećanj</w:t>
      </w:r>
      <w:r w:rsidR="002103DC" w:rsidRPr="0091228A">
        <w:rPr>
          <w:rFonts w:cstheme="minorHAnsi"/>
        </w:rPr>
        <w:t>u</w:t>
      </w:r>
      <w:r w:rsidR="000536C0" w:rsidRPr="0091228A">
        <w:rPr>
          <w:rFonts w:cstheme="minorHAnsi"/>
        </w:rPr>
        <w:t xml:space="preserve"> preradbenih kapaciteta za pol</w:t>
      </w:r>
      <w:r w:rsidR="002103DC" w:rsidRPr="0091228A">
        <w:rPr>
          <w:rFonts w:cstheme="minorHAnsi"/>
        </w:rPr>
        <w:t>joprivredne proizvode, povećanju</w:t>
      </w:r>
      <w:r w:rsidR="000536C0" w:rsidRPr="0091228A">
        <w:rPr>
          <w:rFonts w:cstheme="minorHAnsi"/>
        </w:rPr>
        <w:t xml:space="preserve"> </w:t>
      </w:r>
      <w:r w:rsidR="000536C0" w:rsidRPr="00917731">
        <w:rPr>
          <w:rFonts w:cstheme="minorHAnsi"/>
        </w:rPr>
        <w:t>površine pod ekološkom</w:t>
      </w:r>
      <w:r w:rsidR="00917731">
        <w:rPr>
          <w:rFonts w:cstheme="minorHAnsi"/>
        </w:rPr>
        <w:t xml:space="preserve"> proizvodnjom,</w:t>
      </w:r>
      <w:r w:rsidR="000536C0" w:rsidRPr="0091228A">
        <w:rPr>
          <w:rFonts w:cstheme="minorHAnsi"/>
        </w:rPr>
        <w:t xml:space="preserve"> ali i smanjivanje </w:t>
      </w:r>
      <w:r w:rsidR="00917731">
        <w:rPr>
          <w:rFonts w:cstheme="minorHAnsi"/>
        </w:rPr>
        <w:t xml:space="preserve">površina </w:t>
      </w:r>
      <w:r w:rsidR="000536C0" w:rsidRPr="0091228A">
        <w:rPr>
          <w:rFonts w:cstheme="minorHAnsi"/>
        </w:rPr>
        <w:t xml:space="preserve">koje se </w:t>
      </w:r>
      <w:r w:rsidR="002103DC" w:rsidRPr="0091228A">
        <w:rPr>
          <w:rFonts w:cstheme="minorHAnsi"/>
        </w:rPr>
        <w:t>tretiraju kemijskim sredstvima</w:t>
      </w:r>
      <w:r w:rsidR="006F0DD5" w:rsidRPr="0091228A">
        <w:rPr>
          <w:rFonts w:cstheme="minorHAnsi"/>
        </w:rPr>
        <w:t xml:space="preserve">. </w:t>
      </w:r>
      <w:r w:rsidR="00091130" w:rsidRPr="0091228A">
        <w:rPr>
          <w:rFonts w:cstheme="minorHAnsi"/>
        </w:rPr>
        <w:t xml:space="preserve">Omogućit će se </w:t>
      </w:r>
      <w:r w:rsidR="002103DC" w:rsidRPr="0091228A">
        <w:rPr>
          <w:rFonts w:cstheme="minorHAnsi"/>
        </w:rPr>
        <w:t>s</w:t>
      </w:r>
      <w:r w:rsidR="000536C0" w:rsidRPr="0091228A">
        <w:rPr>
          <w:rFonts w:cstheme="minorHAnsi"/>
        </w:rPr>
        <w:t>tavljanje u funkciju zapuštenih poljoprivrednih zemljišta okrupnjavanjem i navodnjavanjem</w:t>
      </w:r>
      <w:r w:rsidR="002103DC" w:rsidRPr="0091228A">
        <w:rPr>
          <w:rFonts w:cstheme="minorHAnsi"/>
        </w:rPr>
        <w:t xml:space="preserve"> kroz </w:t>
      </w:r>
      <w:r w:rsidR="000536C0" w:rsidRPr="0091228A">
        <w:rPr>
          <w:rFonts w:cstheme="minorHAnsi"/>
        </w:rPr>
        <w:t>udruživanje poljoprivrednih proizvođača, provedb</w:t>
      </w:r>
      <w:r w:rsidR="002103DC" w:rsidRPr="0091228A">
        <w:rPr>
          <w:rFonts w:cstheme="minorHAnsi"/>
        </w:rPr>
        <w:t>u</w:t>
      </w:r>
      <w:r w:rsidR="000536C0" w:rsidRPr="0091228A">
        <w:rPr>
          <w:rFonts w:cstheme="minorHAnsi"/>
        </w:rPr>
        <w:t xml:space="preserve"> komasacije, grupiranje poljoprivrednih zemljišta u veće i/ili pravilnije površine </w:t>
      </w:r>
      <w:r w:rsidR="007E0E3E">
        <w:rPr>
          <w:rFonts w:cstheme="minorHAnsi"/>
        </w:rPr>
        <w:t>te</w:t>
      </w:r>
      <w:r w:rsidR="000536C0" w:rsidRPr="0091228A">
        <w:rPr>
          <w:rFonts w:cstheme="minorHAnsi"/>
        </w:rPr>
        <w:t xml:space="preserve"> izgradnj</w:t>
      </w:r>
      <w:r w:rsidRPr="0091228A">
        <w:rPr>
          <w:rFonts w:cstheme="minorHAnsi"/>
        </w:rPr>
        <w:t>u</w:t>
      </w:r>
      <w:r w:rsidR="000536C0" w:rsidRPr="0091228A">
        <w:rPr>
          <w:rFonts w:cstheme="minorHAnsi"/>
        </w:rPr>
        <w:t xml:space="preserve"> prateće infrastrukture</w:t>
      </w:r>
      <w:r w:rsidRPr="0091228A">
        <w:rPr>
          <w:rFonts w:cstheme="minorHAnsi"/>
        </w:rPr>
        <w:t xml:space="preserve">. </w:t>
      </w:r>
    </w:p>
    <w:p w14:paraId="2C401EF6" w14:textId="17F8EB33" w:rsidR="000536C0" w:rsidRPr="0091228A" w:rsidRDefault="00EA0845" w:rsidP="00EA0845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Zelena tranzicija kao razvojni </w:t>
      </w:r>
      <w:r w:rsidR="003C0EF5" w:rsidRPr="0091228A">
        <w:rPr>
          <w:rFonts w:cstheme="minorHAnsi"/>
        </w:rPr>
        <w:t>prioritet</w:t>
      </w:r>
      <w:r w:rsidRPr="0091228A">
        <w:rPr>
          <w:rFonts w:cstheme="minorHAnsi"/>
        </w:rPr>
        <w:t xml:space="preserve"> usmjerena je na p</w:t>
      </w:r>
      <w:r w:rsidR="000536C0" w:rsidRPr="0091228A">
        <w:rPr>
          <w:rFonts w:cstheme="minorHAnsi"/>
        </w:rPr>
        <w:t>orast energetske učinkovitosti</w:t>
      </w:r>
      <w:r w:rsidRPr="0091228A">
        <w:rPr>
          <w:rFonts w:cstheme="minorHAnsi"/>
        </w:rPr>
        <w:t xml:space="preserve"> p</w:t>
      </w:r>
      <w:r w:rsidR="000536C0" w:rsidRPr="0091228A">
        <w:rPr>
          <w:rFonts w:cstheme="minorHAnsi"/>
        </w:rPr>
        <w:t>oticanje</w:t>
      </w:r>
      <w:r w:rsidR="007E0E3E">
        <w:rPr>
          <w:rFonts w:cstheme="minorHAnsi"/>
        </w:rPr>
        <w:t>m</w:t>
      </w:r>
      <w:r w:rsidR="000536C0" w:rsidRPr="0091228A">
        <w:rPr>
          <w:rFonts w:cstheme="minorHAnsi"/>
        </w:rPr>
        <w:t xml:space="preserve"> jačanja kapaciteta proizvodnje</w:t>
      </w:r>
      <w:r w:rsidR="00091130" w:rsidRPr="0091228A">
        <w:rPr>
          <w:rFonts w:cstheme="minorHAnsi"/>
        </w:rPr>
        <w:t xml:space="preserve"> </w:t>
      </w:r>
      <w:r w:rsidR="000536C0" w:rsidRPr="0091228A">
        <w:rPr>
          <w:rFonts w:cstheme="minorHAnsi"/>
        </w:rPr>
        <w:t>energije u skladu s potrebama i temelj</w:t>
      </w:r>
      <w:r w:rsidR="007E0E3E">
        <w:rPr>
          <w:rFonts w:cstheme="minorHAnsi"/>
        </w:rPr>
        <w:t>nim</w:t>
      </w:r>
      <w:r w:rsidR="000536C0" w:rsidRPr="0091228A">
        <w:rPr>
          <w:rFonts w:cstheme="minorHAnsi"/>
        </w:rPr>
        <w:t xml:space="preserve"> načel</w:t>
      </w:r>
      <w:r w:rsidR="007E0E3E">
        <w:rPr>
          <w:rFonts w:cstheme="minorHAnsi"/>
        </w:rPr>
        <w:t>im</w:t>
      </w:r>
      <w:r w:rsidR="000536C0" w:rsidRPr="0091228A">
        <w:rPr>
          <w:rFonts w:cstheme="minorHAnsi"/>
        </w:rPr>
        <w:t>a održivog razvoja</w:t>
      </w:r>
      <w:r w:rsidR="00091130" w:rsidRPr="0091228A">
        <w:rPr>
          <w:rFonts w:cstheme="minorHAnsi"/>
        </w:rPr>
        <w:t xml:space="preserve">. Ulagat će se </w:t>
      </w:r>
      <w:r w:rsidR="000536C0" w:rsidRPr="0091228A">
        <w:rPr>
          <w:rFonts w:cstheme="minorHAnsi"/>
        </w:rPr>
        <w:t>u projekte izrade energetskog pregleda i modernizacije javne rasvjete, energetsk</w:t>
      </w:r>
      <w:r w:rsidR="006A78F2" w:rsidRPr="0091228A">
        <w:rPr>
          <w:rFonts w:cstheme="minorHAnsi"/>
        </w:rPr>
        <w:t>u</w:t>
      </w:r>
      <w:r w:rsidR="000536C0" w:rsidRPr="0091228A">
        <w:rPr>
          <w:rFonts w:cstheme="minorHAnsi"/>
        </w:rPr>
        <w:t xml:space="preserve"> obnov</w:t>
      </w:r>
      <w:r w:rsidR="006A78F2" w:rsidRPr="0091228A">
        <w:rPr>
          <w:rFonts w:cstheme="minorHAnsi"/>
        </w:rPr>
        <w:t>u</w:t>
      </w:r>
      <w:r w:rsidR="000536C0" w:rsidRPr="0091228A">
        <w:rPr>
          <w:rFonts w:cstheme="minorHAnsi"/>
        </w:rPr>
        <w:t xml:space="preserve"> javnih zgrada</w:t>
      </w:r>
      <w:r w:rsidR="006A78F2" w:rsidRPr="0091228A">
        <w:rPr>
          <w:rFonts w:cstheme="minorHAnsi"/>
        </w:rPr>
        <w:t xml:space="preserve"> i dr.</w:t>
      </w:r>
      <w:r w:rsidRPr="0091228A">
        <w:rPr>
          <w:rFonts w:cstheme="minorHAnsi"/>
        </w:rPr>
        <w:t xml:space="preserve"> Također</w:t>
      </w:r>
      <w:r w:rsidR="006A78F2" w:rsidRPr="0091228A">
        <w:rPr>
          <w:rFonts w:cstheme="minorHAnsi"/>
        </w:rPr>
        <w:t xml:space="preserve">, </w:t>
      </w:r>
      <w:r w:rsidRPr="0091228A">
        <w:rPr>
          <w:rFonts w:cstheme="minorHAnsi"/>
        </w:rPr>
        <w:t>očekuje se p</w:t>
      </w:r>
      <w:r w:rsidR="000536C0" w:rsidRPr="0091228A">
        <w:rPr>
          <w:rFonts w:cstheme="minorHAnsi"/>
        </w:rPr>
        <w:t>ovećanje korište</w:t>
      </w:r>
      <w:r w:rsidRPr="0091228A">
        <w:rPr>
          <w:rFonts w:cstheme="minorHAnsi"/>
        </w:rPr>
        <w:t>nja obnovljivih izvora energije kroz p</w:t>
      </w:r>
      <w:r w:rsidR="000536C0" w:rsidRPr="0091228A">
        <w:rPr>
          <w:rFonts w:cstheme="minorHAnsi"/>
        </w:rPr>
        <w:t>rov</w:t>
      </w:r>
      <w:r w:rsidR="007E0E3E">
        <w:rPr>
          <w:rFonts w:cstheme="minorHAnsi"/>
        </w:rPr>
        <w:t>edbu</w:t>
      </w:r>
      <w:r w:rsidR="000536C0" w:rsidRPr="0091228A">
        <w:rPr>
          <w:rFonts w:cstheme="minorHAnsi"/>
        </w:rPr>
        <w:t xml:space="preserve"> mjera poticanja i subvencija za projekte korištenja obnovljivih izvora energije, ulaganje u izgradnju zelenih industrijskih parkova, promoviranje obnovljivih izvora energije i informiranje javnosti o važnosti njihove upotrebe, poticanje korištenja </w:t>
      </w:r>
      <w:r w:rsidR="007E0E3E">
        <w:rPr>
          <w:rFonts w:cstheme="minorHAnsi"/>
        </w:rPr>
        <w:t>te</w:t>
      </w:r>
      <w:r w:rsidR="000536C0" w:rsidRPr="0091228A">
        <w:rPr>
          <w:rFonts w:cstheme="minorHAnsi"/>
        </w:rPr>
        <w:t xml:space="preserve"> proizvodnj</w:t>
      </w:r>
      <w:r w:rsidR="00AA310A" w:rsidRPr="0091228A">
        <w:rPr>
          <w:rFonts w:cstheme="minorHAnsi"/>
        </w:rPr>
        <w:t>u</w:t>
      </w:r>
      <w:r w:rsidR="000536C0" w:rsidRPr="0091228A">
        <w:rPr>
          <w:rFonts w:cstheme="minorHAnsi"/>
        </w:rPr>
        <w:t xml:space="preserve"> alternativnih oblika energije poput geotermalne </w:t>
      </w:r>
      <w:r w:rsidRPr="0091228A">
        <w:rPr>
          <w:rFonts w:cstheme="minorHAnsi"/>
        </w:rPr>
        <w:t>energije</w:t>
      </w:r>
      <w:r w:rsidR="000536C0" w:rsidRPr="0091228A">
        <w:rPr>
          <w:rFonts w:cstheme="minorHAnsi"/>
        </w:rPr>
        <w:t>, drvne i poljoprivredne biomase</w:t>
      </w:r>
      <w:r w:rsidR="00917731">
        <w:rPr>
          <w:rFonts w:cstheme="minorHAnsi"/>
        </w:rPr>
        <w:t>.</w:t>
      </w:r>
    </w:p>
    <w:p w14:paraId="47746991" w14:textId="77777777" w:rsidR="00C442A5" w:rsidRPr="0091228A" w:rsidRDefault="00C442A5" w:rsidP="00233976">
      <w:pPr>
        <w:jc w:val="both"/>
        <w:rPr>
          <w:rFonts w:cstheme="minorHAnsi"/>
          <w:b/>
        </w:rPr>
      </w:pPr>
    </w:p>
    <w:p w14:paraId="102A9C6D" w14:textId="3EE70BB3" w:rsidR="000536C0" w:rsidRPr="0091228A" w:rsidRDefault="000536C0" w:rsidP="00233976">
      <w:pPr>
        <w:jc w:val="both"/>
        <w:rPr>
          <w:rFonts w:cstheme="minorHAnsi"/>
        </w:rPr>
      </w:pPr>
      <w:r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Za prioritet</w:t>
      </w:r>
      <w:r w:rsidR="00DF4171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4 </w:t>
      </w:r>
      <w:r w:rsidR="008F7DA9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- </w:t>
      </w:r>
      <w:r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Jačanje  konkurentnosti </w:t>
      </w:r>
      <w:r w:rsidR="00E54322"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Ž</w:t>
      </w:r>
      <w:r w:rsidRPr="001166C1"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upanije i razvoj potpomognutih područja </w:t>
      </w:r>
      <w:r w:rsidR="00DF4171" w:rsidRPr="0091228A">
        <w:rPr>
          <w:rFonts w:cstheme="minorHAnsi"/>
        </w:rPr>
        <w:t>planirani ciljevi uključuju j</w:t>
      </w:r>
      <w:r w:rsidRPr="0091228A">
        <w:rPr>
          <w:rFonts w:cstheme="minorHAnsi"/>
        </w:rPr>
        <w:t>ačanje upravljanja razvojem</w:t>
      </w:r>
      <w:r w:rsidR="00DF4171" w:rsidRPr="0091228A">
        <w:rPr>
          <w:rFonts w:cstheme="minorHAnsi"/>
        </w:rPr>
        <w:t>, r</w:t>
      </w:r>
      <w:r w:rsidRPr="0091228A">
        <w:rPr>
          <w:rFonts w:cstheme="minorHAnsi"/>
        </w:rPr>
        <w:t>az</w:t>
      </w:r>
      <w:r w:rsidR="00DF4171" w:rsidRPr="0091228A">
        <w:rPr>
          <w:rFonts w:cstheme="minorHAnsi"/>
        </w:rPr>
        <w:t xml:space="preserve">voj potpomognutih područja </w:t>
      </w:r>
      <w:r w:rsidR="00E54322">
        <w:rPr>
          <w:rFonts w:cstheme="minorHAnsi"/>
        </w:rPr>
        <w:t xml:space="preserve">kao </w:t>
      </w:r>
      <w:r w:rsidR="00DF4171" w:rsidRPr="0091228A">
        <w:rPr>
          <w:rFonts w:cstheme="minorHAnsi"/>
        </w:rPr>
        <w:t xml:space="preserve">i </w:t>
      </w:r>
      <w:r w:rsidR="00B62398" w:rsidRPr="0091228A">
        <w:rPr>
          <w:rFonts w:cstheme="minorHAnsi"/>
        </w:rPr>
        <w:t>j</w:t>
      </w:r>
      <w:r w:rsidRPr="0091228A">
        <w:rPr>
          <w:rFonts w:cstheme="minorHAnsi"/>
        </w:rPr>
        <w:t>ačanje spremnosti n</w:t>
      </w:r>
      <w:r w:rsidR="008F7DA9" w:rsidRPr="0091228A">
        <w:rPr>
          <w:rFonts w:cstheme="minorHAnsi"/>
        </w:rPr>
        <w:t>a okolišne i sigurnosne izazove</w:t>
      </w:r>
      <w:r w:rsidR="00B62398" w:rsidRPr="0091228A">
        <w:rPr>
          <w:rFonts w:cstheme="minorHAnsi"/>
        </w:rPr>
        <w:t xml:space="preserve">. </w:t>
      </w:r>
      <w:r w:rsidR="008F7DA9" w:rsidRPr="0091228A">
        <w:rPr>
          <w:rFonts w:cstheme="minorHAnsi"/>
        </w:rPr>
        <w:t xml:space="preserve"> </w:t>
      </w:r>
      <w:r w:rsidR="00E87AC0" w:rsidRPr="0091228A">
        <w:rPr>
          <w:rFonts w:cstheme="minorHAnsi"/>
        </w:rPr>
        <w:t>U svrhu realizacije posebnih ciljeva u okviru ovog prioriteta,  osnaživat će se</w:t>
      </w:r>
      <w:r w:rsidRPr="0091228A">
        <w:rPr>
          <w:rFonts w:cstheme="minorHAnsi"/>
        </w:rPr>
        <w:t xml:space="preserve"> suradnj</w:t>
      </w:r>
      <w:r w:rsidR="00E87AC0" w:rsidRPr="0091228A">
        <w:rPr>
          <w:rFonts w:cstheme="minorHAnsi"/>
        </w:rPr>
        <w:t>a</w:t>
      </w:r>
      <w:r w:rsidRPr="0091228A">
        <w:rPr>
          <w:rFonts w:cstheme="minorHAnsi"/>
        </w:rPr>
        <w:t xml:space="preserve"> dionika </w:t>
      </w:r>
      <w:r w:rsidR="00E87AC0" w:rsidRPr="0091228A">
        <w:rPr>
          <w:rFonts w:cstheme="minorHAnsi"/>
        </w:rPr>
        <w:t>za</w:t>
      </w:r>
      <w:r w:rsidRPr="0091228A">
        <w:rPr>
          <w:rFonts w:cstheme="minorHAnsi"/>
        </w:rPr>
        <w:t xml:space="preserve"> upravljanj</w:t>
      </w:r>
      <w:r w:rsidR="00E87AC0" w:rsidRPr="0091228A">
        <w:rPr>
          <w:rFonts w:cstheme="minorHAnsi"/>
        </w:rPr>
        <w:t>e</w:t>
      </w:r>
      <w:r w:rsidRPr="0091228A">
        <w:rPr>
          <w:rFonts w:cstheme="minorHAnsi"/>
        </w:rPr>
        <w:t xml:space="preserve"> razvojem</w:t>
      </w:r>
      <w:r w:rsidR="008F7DA9" w:rsidRPr="0091228A">
        <w:rPr>
          <w:rFonts w:cstheme="minorHAnsi"/>
        </w:rPr>
        <w:t>, j</w:t>
      </w:r>
      <w:r w:rsidRPr="0091228A">
        <w:rPr>
          <w:rFonts w:cstheme="minorHAnsi"/>
        </w:rPr>
        <w:t>ača</w:t>
      </w:r>
      <w:r w:rsidR="00E87AC0" w:rsidRPr="0091228A">
        <w:rPr>
          <w:rFonts w:cstheme="minorHAnsi"/>
        </w:rPr>
        <w:t xml:space="preserve">t će </w:t>
      </w:r>
      <w:r w:rsidRPr="0091228A">
        <w:rPr>
          <w:rFonts w:cstheme="minorHAnsi"/>
        </w:rPr>
        <w:t>transparentnost rada javne uprave</w:t>
      </w:r>
      <w:r w:rsidR="00E87AC0" w:rsidRPr="0091228A">
        <w:rPr>
          <w:rFonts w:cstheme="minorHAnsi"/>
        </w:rPr>
        <w:t xml:space="preserve"> kao i</w:t>
      </w:r>
      <w:r w:rsidRPr="0091228A">
        <w:rPr>
          <w:rFonts w:cstheme="minorHAnsi"/>
        </w:rPr>
        <w:t xml:space="preserve"> uključivanje građana kroz participativno upravljanje</w:t>
      </w:r>
      <w:r w:rsidR="00E87AC0" w:rsidRPr="0091228A">
        <w:rPr>
          <w:rFonts w:cstheme="minorHAnsi"/>
        </w:rPr>
        <w:t xml:space="preserve">. Također, jačat će </w:t>
      </w:r>
      <w:r w:rsidRPr="0091228A">
        <w:rPr>
          <w:rFonts w:cstheme="minorHAnsi"/>
        </w:rPr>
        <w:t>digitalizacij</w:t>
      </w:r>
      <w:r w:rsidR="00E87AC0" w:rsidRPr="0091228A">
        <w:rPr>
          <w:rFonts w:cstheme="minorHAnsi"/>
        </w:rPr>
        <w:t>a</w:t>
      </w:r>
      <w:r w:rsidRPr="0091228A">
        <w:rPr>
          <w:rFonts w:cstheme="minorHAnsi"/>
        </w:rPr>
        <w:t xml:space="preserve"> na području Županije, uspostav</w:t>
      </w:r>
      <w:r w:rsidR="00E87AC0" w:rsidRPr="0091228A">
        <w:rPr>
          <w:rFonts w:cstheme="minorHAnsi"/>
        </w:rPr>
        <w:t>it</w:t>
      </w:r>
      <w:r w:rsidR="00E54322">
        <w:rPr>
          <w:rFonts w:cstheme="minorHAnsi"/>
        </w:rPr>
        <w:t xml:space="preserve"> će se</w:t>
      </w:r>
      <w:r w:rsidRPr="0091228A">
        <w:rPr>
          <w:rFonts w:cstheme="minorHAnsi"/>
        </w:rPr>
        <w:t xml:space="preserve"> sustav praćenja i vrednovanja županijskih i lokalnih razvojnih programa i planova</w:t>
      </w:r>
      <w:r w:rsidR="008F7DA9" w:rsidRPr="0091228A">
        <w:rPr>
          <w:rFonts w:cstheme="minorHAnsi"/>
        </w:rPr>
        <w:t xml:space="preserve"> te  </w:t>
      </w:r>
      <w:r w:rsidR="00E87AC0" w:rsidRPr="0091228A">
        <w:rPr>
          <w:rFonts w:cstheme="minorHAnsi"/>
        </w:rPr>
        <w:t xml:space="preserve">osnaživati </w:t>
      </w:r>
      <w:r w:rsidRPr="0091228A">
        <w:rPr>
          <w:rFonts w:cstheme="minorHAnsi"/>
        </w:rPr>
        <w:t xml:space="preserve">suradnja s JLS-ovima </w:t>
      </w:r>
      <w:r w:rsidR="00E87AC0" w:rsidRPr="0091228A">
        <w:rPr>
          <w:rFonts w:cstheme="minorHAnsi"/>
        </w:rPr>
        <w:t xml:space="preserve"> kao i </w:t>
      </w:r>
      <w:r w:rsidRPr="0091228A">
        <w:rPr>
          <w:rFonts w:cstheme="minorHAnsi"/>
        </w:rPr>
        <w:t xml:space="preserve">  međužupanijsk</w:t>
      </w:r>
      <w:r w:rsidR="00E87AC0" w:rsidRPr="0091228A">
        <w:rPr>
          <w:rFonts w:cstheme="minorHAnsi"/>
        </w:rPr>
        <w:t>a</w:t>
      </w:r>
      <w:r w:rsidRPr="0091228A">
        <w:rPr>
          <w:rFonts w:cstheme="minorHAnsi"/>
        </w:rPr>
        <w:t xml:space="preserve"> suradnj</w:t>
      </w:r>
      <w:r w:rsidR="00E87AC0" w:rsidRPr="0091228A">
        <w:rPr>
          <w:rFonts w:cstheme="minorHAnsi"/>
        </w:rPr>
        <w:t>a</w:t>
      </w:r>
      <w:r w:rsidRPr="0091228A">
        <w:rPr>
          <w:rFonts w:cstheme="minorHAnsi"/>
        </w:rPr>
        <w:t>.</w:t>
      </w:r>
      <w:r w:rsidR="008F7DA9" w:rsidRPr="0091228A">
        <w:rPr>
          <w:rFonts w:cstheme="minorHAnsi"/>
        </w:rPr>
        <w:t xml:space="preserve"> Također </w:t>
      </w:r>
      <w:r w:rsidR="00E54322">
        <w:rPr>
          <w:rFonts w:cstheme="minorHAnsi"/>
        </w:rPr>
        <w:t xml:space="preserve">će se </w:t>
      </w:r>
      <w:r w:rsidR="008F7DA9" w:rsidRPr="0091228A">
        <w:rPr>
          <w:rFonts w:cstheme="minorHAnsi"/>
        </w:rPr>
        <w:t>ulagati u s</w:t>
      </w:r>
      <w:r w:rsidRPr="0091228A">
        <w:rPr>
          <w:rFonts w:cstheme="minorHAnsi"/>
        </w:rPr>
        <w:t>tjecanje specifičnih znanja za pripremu i provedbu projekata, proširivanje upravljačkih znanja i vještin</w:t>
      </w:r>
      <w:r w:rsidR="00311A04">
        <w:rPr>
          <w:rFonts w:cstheme="minorHAnsi"/>
        </w:rPr>
        <w:t>e</w:t>
      </w:r>
      <w:r w:rsidRPr="0091228A">
        <w:rPr>
          <w:rFonts w:cstheme="minorHAnsi"/>
        </w:rPr>
        <w:t xml:space="preserve"> zaposlenika u županijskim tijelima, poticanje proaktivnog pristupa kod djelatnika u upravi za rješavanje razvojnih problema </w:t>
      </w:r>
      <w:r w:rsidR="00801B3E" w:rsidRPr="0091228A">
        <w:rPr>
          <w:rFonts w:cstheme="minorHAnsi"/>
        </w:rPr>
        <w:t xml:space="preserve">te u </w:t>
      </w:r>
      <w:r w:rsidRPr="0091228A">
        <w:rPr>
          <w:rFonts w:cstheme="minorHAnsi"/>
        </w:rPr>
        <w:t>jačanje kapaciteta za pripremu i provedbu projekata financiranih iz fondova EU</w:t>
      </w:r>
      <w:r w:rsidR="00311A04">
        <w:rPr>
          <w:rFonts w:cstheme="minorHAnsi"/>
        </w:rPr>
        <w:t>-a</w:t>
      </w:r>
      <w:r w:rsidRPr="0091228A">
        <w:rPr>
          <w:rFonts w:cstheme="minorHAnsi"/>
        </w:rPr>
        <w:t xml:space="preserve"> i drugih izvora.</w:t>
      </w:r>
      <w:r w:rsidR="008F7DA9" w:rsidRPr="0091228A">
        <w:rPr>
          <w:rFonts w:cstheme="minorHAnsi"/>
        </w:rPr>
        <w:t xml:space="preserve"> Posebno će se poticati aktivnosti </w:t>
      </w:r>
      <w:r w:rsidR="00311A04">
        <w:rPr>
          <w:rFonts w:cstheme="minorHAnsi"/>
        </w:rPr>
        <w:t xml:space="preserve">čija je svrha </w:t>
      </w:r>
      <w:r w:rsidR="008F7DA9" w:rsidRPr="0091228A">
        <w:rPr>
          <w:rFonts w:cstheme="minorHAnsi"/>
        </w:rPr>
        <w:t>p</w:t>
      </w:r>
      <w:r w:rsidRPr="0091228A">
        <w:rPr>
          <w:rFonts w:cstheme="minorHAnsi"/>
        </w:rPr>
        <w:t>ovećanj</w:t>
      </w:r>
      <w:r w:rsidR="00311A04">
        <w:rPr>
          <w:rFonts w:cstheme="minorHAnsi"/>
        </w:rPr>
        <w:t>e</w:t>
      </w:r>
      <w:r w:rsidRPr="0091228A">
        <w:rPr>
          <w:rFonts w:cstheme="minorHAnsi"/>
        </w:rPr>
        <w:t xml:space="preserve"> znanja i vještina organizacija civilnog društva i jačanj</w:t>
      </w:r>
      <w:r w:rsidR="00311A04">
        <w:rPr>
          <w:rFonts w:cstheme="minorHAnsi"/>
        </w:rPr>
        <w:t>e</w:t>
      </w:r>
      <w:r w:rsidRPr="0091228A">
        <w:rPr>
          <w:rFonts w:cstheme="minorHAnsi"/>
        </w:rPr>
        <w:t xml:space="preserve"> njihova</w:t>
      </w:r>
      <w:r w:rsidR="008F7DA9" w:rsidRPr="0091228A">
        <w:rPr>
          <w:rFonts w:cstheme="minorHAnsi"/>
        </w:rPr>
        <w:t xml:space="preserve"> doprinosa razvoju zajednice, njihovo </w:t>
      </w:r>
      <w:r w:rsidRPr="0091228A">
        <w:rPr>
          <w:rFonts w:cstheme="minorHAnsi"/>
        </w:rPr>
        <w:t>sudjelovanj</w:t>
      </w:r>
      <w:r w:rsidR="008F7DA9" w:rsidRPr="0091228A">
        <w:rPr>
          <w:rFonts w:cstheme="minorHAnsi"/>
        </w:rPr>
        <w:t>e</w:t>
      </w:r>
      <w:r w:rsidRPr="0091228A">
        <w:rPr>
          <w:rFonts w:cstheme="minorHAnsi"/>
        </w:rPr>
        <w:t xml:space="preserve"> u projektima socijalnog poduzetništva i socijalnih inovacija</w:t>
      </w:r>
      <w:r w:rsidR="008F7DA9" w:rsidRPr="0091228A">
        <w:rPr>
          <w:rFonts w:cstheme="minorHAnsi"/>
        </w:rPr>
        <w:t xml:space="preserve"> </w:t>
      </w:r>
      <w:r w:rsidRPr="0091228A">
        <w:rPr>
          <w:rFonts w:cstheme="minorHAnsi"/>
        </w:rPr>
        <w:t xml:space="preserve"> te prom</w:t>
      </w:r>
      <w:r w:rsidR="00311A04">
        <w:rPr>
          <w:rFonts w:cstheme="minorHAnsi"/>
        </w:rPr>
        <w:t>oviranje</w:t>
      </w:r>
      <w:r w:rsidRPr="0091228A">
        <w:rPr>
          <w:rFonts w:cstheme="minorHAnsi"/>
        </w:rPr>
        <w:t xml:space="preserve"> volonterstva u društvu.</w:t>
      </w:r>
      <w:r w:rsidR="008F7DA9" w:rsidRPr="0091228A">
        <w:rPr>
          <w:rFonts w:cstheme="minorHAnsi"/>
        </w:rPr>
        <w:t xml:space="preserve"> </w:t>
      </w:r>
    </w:p>
    <w:p w14:paraId="4DBFB872" w14:textId="6E271D8F" w:rsidR="000536C0" w:rsidRPr="0091228A" w:rsidRDefault="000536C0" w:rsidP="00233976">
      <w:pPr>
        <w:jc w:val="both"/>
        <w:rPr>
          <w:rFonts w:cstheme="minorHAnsi"/>
        </w:rPr>
      </w:pPr>
      <w:r w:rsidRPr="0091228A">
        <w:rPr>
          <w:rFonts w:cstheme="minorHAnsi"/>
        </w:rPr>
        <w:t>Poticanje intervencija u potpomognutim područjima</w:t>
      </w:r>
      <w:r w:rsidR="008F7DA9" w:rsidRPr="0091228A">
        <w:rPr>
          <w:rFonts w:cstheme="minorHAnsi"/>
        </w:rPr>
        <w:t xml:space="preserve"> omogućit će se o</w:t>
      </w:r>
      <w:r w:rsidRPr="0091228A">
        <w:rPr>
          <w:rFonts w:cstheme="minorHAnsi"/>
        </w:rPr>
        <w:t>siguranje</w:t>
      </w:r>
      <w:r w:rsidR="008F7DA9" w:rsidRPr="0091228A">
        <w:rPr>
          <w:rFonts w:cstheme="minorHAnsi"/>
        </w:rPr>
        <w:t>m</w:t>
      </w:r>
      <w:r w:rsidRPr="0091228A">
        <w:rPr>
          <w:rFonts w:cstheme="minorHAnsi"/>
        </w:rPr>
        <w:t xml:space="preserve"> potpora male vrijednosti za porezne obveznike koji obavljaju djelatnost na tim područjima, osiguranje</w:t>
      </w:r>
      <w:r w:rsidR="008F7DA9" w:rsidRPr="0091228A">
        <w:rPr>
          <w:rFonts w:cstheme="minorHAnsi"/>
        </w:rPr>
        <w:t>m</w:t>
      </w:r>
      <w:r w:rsidRPr="0091228A">
        <w:rPr>
          <w:rFonts w:cstheme="minorHAnsi"/>
        </w:rPr>
        <w:t xml:space="preserve"> potpore </w:t>
      </w:r>
      <w:r w:rsidR="00A85376">
        <w:rPr>
          <w:rFonts w:cstheme="minorHAnsi"/>
        </w:rPr>
        <w:t>malim i srednjim poduzećima (</w:t>
      </w:r>
      <w:r w:rsidRPr="0091228A">
        <w:rPr>
          <w:rFonts w:cstheme="minorHAnsi"/>
        </w:rPr>
        <w:t>MSP</w:t>
      </w:r>
      <w:r w:rsidR="00A85376">
        <w:rPr>
          <w:rFonts w:cstheme="minorHAnsi"/>
        </w:rPr>
        <w:t>)</w:t>
      </w:r>
      <w:r w:rsidRPr="0091228A">
        <w:rPr>
          <w:rFonts w:cstheme="minorHAnsi"/>
        </w:rPr>
        <w:t xml:space="preserve"> na potpomognutim područjima putem poticaja, poduzetničke infrastrukture i programa financiranja</w:t>
      </w:r>
      <w:r w:rsidR="00A85376">
        <w:rPr>
          <w:rFonts w:cstheme="minorHAnsi"/>
        </w:rPr>
        <w:t>.</w:t>
      </w:r>
      <w:r w:rsidR="00801B3E" w:rsidRPr="0091228A">
        <w:rPr>
          <w:rFonts w:cstheme="minorHAnsi"/>
        </w:rPr>
        <w:t xml:space="preserve"> Podršk</w:t>
      </w:r>
      <w:r w:rsidR="00A85376">
        <w:rPr>
          <w:rFonts w:cstheme="minorHAnsi"/>
        </w:rPr>
        <w:t>u</w:t>
      </w:r>
      <w:r w:rsidR="00801B3E" w:rsidRPr="0091228A">
        <w:rPr>
          <w:rFonts w:cstheme="minorHAnsi"/>
        </w:rPr>
        <w:t xml:space="preserve"> ovim područjima omogućit će i </w:t>
      </w:r>
      <w:r w:rsidRPr="0091228A">
        <w:rPr>
          <w:rFonts w:cstheme="minorHAnsi"/>
        </w:rPr>
        <w:t>održavanj</w:t>
      </w:r>
      <w:r w:rsidR="00A85376">
        <w:rPr>
          <w:rFonts w:cstheme="minorHAnsi"/>
        </w:rPr>
        <w:t>e</w:t>
      </w:r>
      <w:r w:rsidRPr="0091228A">
        <w:rPr>
          <w:rFonts w:cstheme="minorHAnsi"/>
        </w:rPr>
        <w:t xml:space="preserve"> i modernizacij</w:t>
      </w:r>
      <w:r w:rsidR="00A85376">
        <w:rPr>
          <w:rFonts w:cstheme="minorHAnsi"/>
        </w:rPr>
        <w:t>a</w:t>
      </w:r>
      <w:r w:rsidRPr="0091228A">
        <w:rPr>
          <w:rFonts w:cstheme="minorHAnsi"/>
        </w:rPr>
        <w:t xml:space="preserve"> prometne i komunalne infrastrukture </w:t>
      </w:r>
      <w:r w:rsidR="00801B3E" w:rsidRPr="0091228A">
        <w:rPr>
          <w:rFonts w:cstheme="minorHAnsi"/>
        </w:rPr>
        <w:t xml:space="preserve">te </w:t>
      </w:r>
      <w:r w:rsidRPr="0091228A">
        <w:rPr>
          <w:rFonts w:cstheme="minorHAnsi"/>
        </w:rPr>
        <w:t>potpor</w:t>
      </w:r>
      <w:r w:rsidR="00A85376">
        <w:rPr>
          <w:rFonts w:cstheme="minorHAnsi"/>
        </w:rPr>
        <w:t>e</w:t>
      </w:r>
      <w:r w:rsidRPr="0091228A">
        <w:rPr>
          <w:rFonts w:cstheme="minorHAnsi"/>
        </w:rPr>
        <w:t xml:space="preserve"> za izgradnju i opremanje društvene infrastrukture</w:t>
      </w:r>
      <w:r w:rsidR="00801B3E" w:rsidRPr="0091228A">
        <w:rPr>
          <w:rFonts w:cstheme="minorHAnsi"/>
        </w:rPr>
        <w:t>.</w:t>
      </w:r>
    </w:p>
    <w:p w14:paraId="4F13C5C1" w14:textId="35AD2ECB" w:rsidR="000536C0" w:rsidRPr="0091228A" w:rsidRDefault="000536C0" w:rsidP="00233976">
      <w:pPr>
        <w:jc w:val="both"/>
        <w:rPr>
          <w:rFonts w:cstheme="minorHAnsi"/>
        </w:rPr>
      </w:pPr>
      <w:r w:rsidRPr="0091228A">
        <w:rPr>
          <w:rFonts w:cstheme="minorHAnsi"/>
        </w:rPr>
        <w:t>Poticanje integriranih teritorijalnih ulaganja</w:t>
      </w:r>
      <w:r w:rsidR="008F7DA9" w:rsidRPr="0091228A">
        <w:rPr>
          <w:rFonts w:cstheme="minorHAnsi"/>
        </w:rPr>
        <w:t xml:space="preserve"> omogućit će učinkovitije </w:t>
      </w:r>
      <w:r w:rsidRPr="0091228A">
        <w:rPr>
          <w:rFonts w:cstheme="minorHAnsi"/>
        </w:rPr>
        <w:t>planiranje i provedb</w:t>
      </w:r>
      <w:r w:rsidR="008F7DA9" w:rsidRPr="0091228A">
        <w:rPr>
          <w:rFonts w:cstheme="minorHAnsi"/>
        </w:rPr>
        <w:t>u</w:t>
      </w:r>
      <w:r w:rsidRPr="0091228A">
        <w:rPr>
          <w:rFonts w:cstheme="minorHAnsi"/>
        </w:rPr>
        <w:t xml:space="preserve"> održivog korištenja prostora, praćenje stvarnog korištenja i planirane namjene zemlji</w:t>
      </w:r>
      <w:r w:rsidR="008F7DA9" w:rsidRPr="0091228A">
        <w:rPr>
          <w:rFonts w:cstheme="minorHAnsi"/>
        </w:rPr>
        <w:t xml:space="preserve">šta, </w:t>
      </w:r>
      <w:r w:rsidRPr="0091228A">
        <w:rPr>
          <w:rFonts w:cstheme="minorHAnsi"/>
        </w:rPr>
        <w:t>obnov</w:t>
      </w:r>
      <w:r w:rsidR="008F7DA9" w:rsidRPr="0091228A">
        <w:rPr>
          <w:rFonts w:cstheme="minorHAnsi"/>
        </w:rPr>
        <w:t>u</w:t>
      </w:r>
      <w:r w:rsidRPr="0091228A">
        <w:rPr>
          <w:rFonts w:cstheme="minorHAnsi"/>
        </w:rPr>
        <w:t xml:space="preserve"> i uređenje </w:t>
      </w:r>
      <w:r w:rsidRPr="0091228A">
        <w:rPr>
          <w:rFonts w:ascii="Times New Roman" w:hAnsi="Times New Roman" w:cs="Times New Roman"/>
        </w:rPr>
        <w:t>povijesnih</w:t>
      </w:r>
      <w:r w:rsidR="00801B3E" w:rsidRPr="0091228A">
        <w:rPr>
          <w:rFonts w:ascii="Times New Roman" w:hAnsi="Times New Roman" w:cs="Times New Roman"/>
        </w:rPr>
        <w:t xml:space="preserve"> središta gradova i ostalih naselja </w:t>
      </w:r>
      <w:r w:rsidRPr="0091228A">
        <w:rPr>
          <w:rFonts w:cstheme="minorHAnsi"/>
        </w:rPr>
        <w:t>radi očuvanja  vrijednosti krajobraza</w:t>
      </w:r>
      <w:r w:rsidR="00A07F91">
        <w:rPr>
          <w:rFonts w:cstheme="minorHAnsi"/>
        </w:rPr>
        <w:t>.</w:t>
      </w:r>
      <w:r w:rsidR="00801B3E" w:rsidRPr="0091228A">
        <w:rPr>
          <w:rFonts w:cstheme="minorHAnsi"/>
        </w:rPr>
        <w:t xml:space="preserve"> Ujedno će se ulagati u </w:t>
      </w:r>
      <w:r w:rsidRPr="0091228A">
        <w:rPr>
          <w:rFonts w:cstheme="minorHAnsi"/>
        </w:rPr>
        <w:t>obnov</w:t>
      </w:r>
      <w:r w:rsidR="00801B3E" w:rsidRPr="0091228A">
        <w:rPr>
          <w:rFonts w:cstheme="minorHAnsi"/>
        </w:rPr>
        <w:t>u</w:t>
      </w:r>
      <w:r w:rsidRPr="0091228A">
        <w:rPr>
          <w:rFonts w:cstheme="minorHAnsi"/>
        </w:rPr>
        <w:t xml:space="preserve"> </w:t>
      </w:r>
      <w:r w:rsidRPr="00D85CCB">
        <w:rPr>
          <w:rFonts w:cstheme="minorHAnsi"/>
          <w:i/>
        </w:rPr>
        <w:t>brownfield</w:t>
      </w:r>
      <w:r w:rsidRPr="0091228A">
        <w:rPr>
          <w:rFonts w:cstheme="minorHAnsi"/>
        </w:rPr>
        <w:t xml:space="preserve"> lokacija i edukacij</w:t>
      </w:r>
      <w:r w:rsidR="00233976" w:rsidRPr="0091228A">
        <w:rPr>
          <w:rFonts w:cstheme="minorHAnsi"/>
        </w:rPr>
        <w:t>u</w:t>
      </w:r>
      <w:r w:rsidRPr="0091228A">
        <w:rPr>
          <w:rFonts w:cstheme="minorHAnsi"/>
        </w:rPr>
        <w:t xml:space="preserve"> djelatnika u tijelima nadležnim za prostorno uređenje </w:t>
      </w:r>
      <w:r w:rsidR="00040BF3">
        <w:rPr>
          <w:rFonts w:cstheme="minorHAnsi"/>
        </w:rPr>
        <w:t xml:space="preserve"> a radi </w:t>
      </w:r>
      <w:r w:rsidRPr="0091228A">
        <w:rPr>
          <w:rFonts w:cstheme="minorHAnsi"/>
        </w:rPr>
        <w:t xml:space="preserve"> </w:t>
      </w:r>
      <w:r w:rsidRPr="0091228A">
        <w:rPr>
          <w:rFonts w:cstheme="minorHAnsi"/>
        </w:rPr>
        <w:lastRenderedPageBreak/>
        <w:t xml:space="preserve">prilagodbe klimatskim promjenama te </w:t>
      </w:r>
      <w:r w:rsidR="00040BF3">
        <w:rPr>
          <w:rFonts w:cstheme="minorHAnsi"/>
        </w:rPr>
        <w:t xml:space="preserve">u </w:t>
      </w:r>
      <w:r w:rsidRPr="0091228A">
        <w:rPr>
          <w:rFonts w:cstheme="minorHAnsi"/>
        </w:rPr>
        <w:t>edukacij</w:t>
      </w:r>
      <w:r w:rsidR="00233976" w:rsidRPr="0091228A">
        <w:rPr>
          <w:rFonts w:cstheme="minorHAnsi"/>
        </w:rPr>
        <w:t>u</w:t>
      </w:r>
      <w:r w:rsidRPr="0091228A">
        <w:rPr>
          <w:rFonts w:cstheme="minorHAnsi"/>
        </w:rPr>
        <w:t xml:space="preserve"> građana za aktivno sudjelovanje u procesima prostornog planiranja.</w:t>
      </w:r>
    </w:p>
    <w:p w14:paraId="63BD14D7" w14:textId="36EEC7D7" w:rsidR="006F0DD5" w:rsidRPr="0091228A" w:rsidRDefault="006F0DD5" w:rsidP="006F0DD5">
      <w:pPr>
        <w:jc w:val="both"/>
        <w:rPr>
          <w:rFonts w:cstheme="minorHAnsi"/>
        </w:rPr>
      </w:pPr>
      <w:r w:rsidRPr="0091228A">
        <w:rPr>
          <w:rFonts w:cstheme="minorHAnsi"/>
        </w:rPr>
        <w:t>Poseb</w:t>
      </w:r>
      <w:r w:rsidR="00040BF3">
        <w:rPr>
          <w:rFonts w:cstheme="minorHAnsi"/>
        </w:rPr>
        <w:t>a</w:t>
      </w:r>
      <w:r w:rsidRPr="0091228A">
        <w:rPr>
          <w:rFonts w:cstheme="minorHAnsi"/>
        </w:rPr>
        <w:t>n značaj i dalje se pridaje jačanju komunalne, prometne i društvene infrastrukture ulaganje</w:t>
      </w:r>
      <w:r w:rsidR="00040BF3">
        <w:rPr>
          <w:rFonts w:cstheme="minorHAnsi"/>
        </w:rPr>
        <w:t>m</w:t>
      </w:r>
      <w:r w:rsidRPr="0091228A">
        <w:rPr>
          <w:rFonts w:cstheme="minorHAnsi"/>
        </w:rPr>
        <w:t xml:space="preserve"> u sustave vodovoda i odvodnje te pročišćavanja otpadnih voda, izgradnju infrastrukture za gospodarenje otpadom, odvojeno prikupljanje otpada, sanaciju divljih odlagališta i onečišćenih lokacija te edukaciju stanovništva o nastanku, odlaganju i ponovnom korištenju otpada kao sirovine/energenta.</w:t>
      </w:r>
    </w:p>
    <w:p w14:paraId="67D568E6" w14:textId="66B326DE" w:rsidR="006F0DD5" w:rsidRPr="0091228A" w:rsidRDefault="006F0DD5" w:rsidP="006F0DD5">
      <w:pPr>
        <w:jc w:val="both"/>
        <w:rPr>
          <w:rFonts w:cstheme="minorHAnsi"/>
        </w:rPr>
      </w:pPr>
      <w:r w:rsidRPr="0091228A">
        <w:rPr>
          <w:rFonts w:cstheme="minorHAnsi"/>
        </w:rPr>
        <w:t>Ulaganje u prometnu infrastrukturu omogućit će povećanje sigurnosti u prometu i kvalitetnij</w:t>
      </w:r>
      <w:r w:rsidR="00246712">
        <w:rPr>
          <w:rFonts w:cstheme="minorHAnsi"/>
        </w:rPr>
        <w:t>u</w:t>
      </w:r>
      <w:r w:rsidRPr="0091228A">
        <w:rPr>
          <w:rFonts w:cstheme="minorHAnsi"/>
        </w:rPr>
        <w:t xml:space="preserve"> povezanost urbanih i ruralnih središta, ulaganje u javni prijevoz, ulaganj</w:t>
      </w:r>
      <w:r w:rsidR="00AD42B9">
        <w:rPr>
          <w:rFonts w:cstheme="minorHAnsi"/>
        </w:rPr>
        <w:t>e</w:t>
      </w:r>
      <w:r w:rsidRPr="0091228A">
        <w:rPr>
          <w:rFonts w:cstheme="minorHAnsi"/>
        </w:rPr>
        <w:t xml:space="preserve"> u željeznice, biciklističku infrastrukturu, riječni transport te </w:t>
      </w:r>
      <w:r w:rsidR="00AD42B9">
        <w:rPr>
          <w:rFonts w:cstheme="minorHAnsi"/>
        </w:rPr>
        <w:t xml:space="preserve">u </w:t>
      </w:r>
      <w:r w:rsidR="00251BA8">
        <w:rPr>
          <w:rFonts w:cstheme="minorHAnsi"/>
        </w:rPr>
        <w:t xml:space="preserve">  </w:t>
      </w:r>
      <w:r w:rsidRPr="0091228A">
        <w:rPr>
          <w:rFonts w:cstheme="minorHAnsi"/>
        </w:rPr>
        <w:t>poticanje korištenja intermodalnog transporta.</w:t>
      </w:r>
    </w:p>
    <w:p w14:paraId="012635DF" w14:textId="496A9437" w:rsidR="006F0DD5" w:rsidRPr="0091228A" w:rsidRDefault="00246712" w:rsidP="006F0DD5">
      <w:pPr>
        <w:jc w:val="both"/>
        <w:rPr>
          <w:rFonts w:cstheme="minorHAnsi"/>
        </w:rPr>
      </w:pPr>
      <w:r>
        <w:rPr>
          <w:rFonts w:cstheme="minorHAnsi"/>
        </w:rPr>
        <w:t xml:space="preserve">Planira se provedba </w:t>
      </w:r>
      <w:r w:rsidR="006F0DD5" w:rsidRPr="0091228A">
        <w:rPr>
          <w:rFonts w:cstheme="minorHAnsi"/>
        </w:rPr>
        <w:t>projek</w:t>
      </w:r>
      <w:r>
        <w:rPr>
          <w:rFonts w:cstheme="minorHAnsi"/>
        </w:rPr>
        <w:t>a</w:t>
      </w:r>
      <w:r w:rsidR="006F0DD5" w:rsidRPr="0091228A">
        <w:rPr>
          <w:rFonts w:cstheme="minorHAnsi"/>
        </w:rPr>
        <w:t>t</w:t>
      </w:r>
      <w:r>
        <w:rPr>
          <w:rFonts w:cstheme="minorHAnsi"/>
        </w:rPr>
        <w:t>a</w:t>
      </w:r>
      <w:r w:rsidR="006F0DD5" w:rsidRPr="0091228A">
        <w:rPr>
          <w:rFonts w:cstheme="minorHAnsi"/>
        </w:rPr>
        <w:t xml:space="preserve"> i aktivnosti ulaganja u društvenu infrastrukturu poput rekonstrukcije i  dogradnje društvenih domova različitih namjena, obnove i modernizacije sportskih dvorana, terena, stadiona, parkova, planinarskih domova i skloništa, objekata za slatkovodni ribolov, rekreacijskih zona na rijekama i jezerima, kampova, bazena, uređenja javnih vrtova, parkova i sportskih parkova, te uređenja groblja i mrtvačnica. </w:t>
      </w:r>
    </w:p>
    <w:p w14:paraId="2C7F2297" w14:textId="53C1927E" w:rsidR="00801B3E" w:rsidRPr="0091228A" w:rsidRDefault="006F0DD5" w:rsidP="006F0DD5">
      <w:pPr>
        <w:jc w:val="both"/>
        <w:rPr>
          <w:rFonts w:cstheme="minorHAnsi"/>
        </w:rPr>
      </w:pPr>
      <w:r w:rsidRPr="0091228A">
        <w:rPr>
          <w:rFonts w:cstheme="minorHAnsi"/>
        </w:rPr>
        <w:t>Nastaviti će se ulaga</w:t>
      </w:r>
      <w:r w:rsidR="00246712">
        <w:rPr>
          <w:rFonts w:cstheme="minorHAnsi"/>
        </w:rPr>
        <w:t>ti</w:t>
      </w:r>
      <w:r w:rsidRPr="0091228A">
        <w:rPr>
          <w:rFonts w:cstheme="minorHAnsi"/>
        </w:rPr>
        <w:t xml:space="preserve"> u  infrastrukturu i dostupnost širokopojasnog interneta u urbanim i ruralnim područjima Brodsko</w:t>
      </w:r>
      <w:r w:rsidR="00246712">
        <w:rPr>
          <w:rFonts w:cstheme="minorHAnsi"/>
        </w:rPr>
        <w:t>-</w:t>
      </w:r>
      <w:r w:rsidRPr="0091228A">
        <w:rPr>
          <w:rFonts w:cstheme="minorHAnsi"/>
        </w:rPr>
        <w:t>posavske županije.</w:t>
      </w:r>
    </w:p>
    <w:p w14:paraId="44965CDF" w14:textId="6C275397" w:rsidR="000536C0" w:rsidRPr="0091228A" w:rsidRDefault="00C32CF7" w:rsidP="00233976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="000536C0" w:rsidRPr="0091228A">
        <w:rPr>
          <w:rFonts w:cstheme="minorHAnsi"/>
        </w:rPr>
        <w:t>napređenje</w:t>
      </w:r>
      <w:r>
        <w:rPr>
          <w:rFonts w:cstheme="minorHAnsi"/>
        </w:rPr>
        <w:t>m</w:t>
      </w:r>
      <w:r w:rsidR="000536C0" w:rsidRPr="0091228A">
        <w:rPr>
          <w:rFonts w:cstheme="minorHAnsi"/>
        </w:rPr>
        <w:t xml:space="preserve"> sustava z</w:t>
      </w:r>
      <w:r w:rsidR="00233976" w:rsidRPr="0091228A">
        <w:rPr>
          <w:rFonts w:cstheme="minorHAnsi"/>
        </w:rPr>
        <w:t xml:space="preserve">aštite od elementarnih nepogoda </w:t>
      </w:r>
      <w:r w:rsidR="000536C0" w:rsidRPr="0091228A">
        <w:rPr>
          <w:rFonts w:cstheme="minorHAnsi"/>
        </w:rPr>
        <w:t>osigura</w:t>
      </w:r>
      <w:r w:rsidR="00233976" w:rsidRPr="0091228A">
        <w:rPr>
          <w:rFonts w:cstheme="minorHAnsi"/>
        </w:rPr>
        <w:t xml:space="preserve">t će se </w:t>
      </w:r>
      <w:r w:rsidR="000536C0" w:rsidRPr="0091228A">
        <w:rPr>
          <w:rFonts w:cstheme="minorHAnsi"/>
        </w:rPr>
        <w:t>kvalitet</w:t>
      </w:r>
      <w:r w:rsidR="00801B3E" w:rsidRPr="0091228A">
        <w:rPr>
          <w:rFonts w:cstheme="minorHAnsi"/>
        </w:rPr>
        <w:t>an</w:t>
      </w:r>
      <w:r w:rsidR="00233976" w:rsidRPr="0091228A">
        <w:rPr>
          <w:rFonts w:cstheme="minorHAnsi"/>
        </w:rPr>
        <w:t xml:space="preserve"> i dobro o</w:t>
      </w:r>
      <w:r w:rsidR="000536C0" w:rsidRPr="0091228A">
        <w:rPr>
          <w:rFonts w:cstheme="minorHAnsi"/>
        </w:rPr>
        <w:t>rganiziran</w:t>
      </w:r>
      <w:r w:rsidR="00233976" w:rsidRPr="0091228A">
        <w:rPr>
          <w:rFonts w:cstheme="minorHAnsi"/>
        </w:rPr>
        <w:t xml:space="preserve"> </w:t>
      </w:r>
      <w:r w:rsidR="000536C0" w:rsidRPr="0091228A">
        <w:rPr>
          <w:rFonts w:cstheme="minorHAnsi"/>
        </w:rPr>
        <w:t xml:space="preserve"> sustav civilne zaštite u slučaju </w:t>
      </w:r>
      <w:r w:rsidR="00801B3E" w:rsidRPr="0091228A">
        <w:rPr>
          <w:rFonts w:cstheme="minorHAnsi"/>
        </w:rPr>
        <w:t xml:space="preserve">pojave </w:t>
      </w:r>
      <w:r w:rsidR="000536C0" w:rsidRPr="0091228A">
        <w:rPr>
          <w:rFonts w:cstheme="minorHAnsi"/>
        </w:rPr>
        <w:t xml:space="preserve"> </w:t>
      </w:r>
      <w:r w:rsidR="00801B3E" w:rsidRPr="0091228A">
        <w:rPr>
          <w:rFonts w:cstheme="minorHAnsi"/>
        </w:rPr>
        <w:t xml:space="preserve">mogućih </w:t>
      </w:r>
      <w:r w:rsidR="000536C0" w:rsidRPr="0091228A">
        <w:rPr>
          <w:rFonts w:cstheme="minorHAnsi"/>
        </w:rPr>
        <w:t xml:space="preserve"> budućih nepogoda kroz aktivnosti ulaganja u projekte akumulacije i retencije, edukativne aktivnosti o mogućnostima zaštite od elementarnih nepogoda i aktivnosti u izvanrednim situacijama, izgradnj</w:t>
      </w:r>
      <w:r w:rsidR="00233976" w:rsidRPr="0091228A">
        <w:rPr>
          <w:rFonts w:cstheme="minorHAnsi"/>
        </w:rPr>
        <w:t>u</w:t>
      </w:r>
      <w:r w:rsidR="000536C0" w:rsidRPr="0091228A">
        <w:rPr>
          <w:rFonts w:cstheme="minorHAnsi"/>
        </w:rPr>
        <w:t xml:space="preserve"> i/ili opremanje vatrogasnih domova i spremišta</w:t>
      </w:r>
      <w:r w:rsidR="006F0DD5" w:rsidRPr="0091228A">
        <w:rPr>
          <w:rFonts w:cstheme="minorHAnsi"/>
        </w:rPr>
        <w:t xml:space="preserve">. </w:t>
      </w:r>
    </w:p>
    <w:p w14:paraId="29CC4A81" w14:textId="3BBEBFBE" w:rsidR="007E691B" w:rsidRPr="001166C1" w:rsidRDefault="007E691B" w:rsidP="0018496E">
      <w:pPr>
        <w:pStyle w:val="Naslov1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13" w:name="_Toc84938284"/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POPIS POSEBNIH CILJEVA S OPISOM, PRIPADAJUĆIM POKAZATELJIMA ISHODA I POPISOM MJERA ZA PROVEDBU</w:t>
      </w:r>
      <w:bookmarkEnd w:id="13"/>
    </w:p>
    <w:p w14:paraId="35743DE8" w14:textId="110AB3A7" w:rsidR="007E691B" w:rsidRDefault="00D80492" w:rsidP="007E691B">
      <w:pPr>
        <w:jc w:val="both"/>
        <w:rPr>
          <w:rFonts w:cstheme="minorHAnsi"/>
        </w:rPr>
      </w:pPr>
      <w:r w:rsidRPr="0091228A">
        <w:rPr>
          <w:rFonts w:cstheme="minorHAnsi"/>
        </w:rPr>
        <w:t>Iz navedenih općih prioritetnih područja, a kao nastavak operacionalizacije strateških ciljeva iz NRS</w:t>
      </w:r>
      <w:r w:rsidR="00C32CF7">
        <w:rPr>
          <w:rFonts w:cstheme="minorHAnsi"/>
        </w:rPr>
        <w:t>-a</w:t>
      </w:r>
      <w:r w:rsidRPr="0091228A">
        <w:rPr>
          <w:rFonts w:cstheme="minorHAnsi"/>
        </w:rPr>
        <w:t xml:space="preserve"> 2030 proizlaze posebni ciljevi Plana razvoja</w:t>
      </w:r>
      <w:r w:rsidR="003C0EF5" w:rsidRPr="0091228A">
        <w:rPr>
          <w:rFonts w:cstheme="minorHAnsi"/>
        </w:rPr>
        <w:t xml:space="preserve"> Brodsko</w:t>
      </w:r>
      <w:r w:rsidR="00C32CF7">
        <w:rPr>
          <w:rFonts w:cstheme="minorHAnsi"/>
        </w:rPr>
        <w:t>-</w:t>
      </w:r>
      <w:r w:rsidR="003C0EF5" w:rsidRPr="0091228A">
        <w:rPr>
          <w:rFonts w:cstheme="minorHAnsi"/>
        </w:rPr>
        <w:t xml:space="preserve">posavske županije. </w:t>
      </w:r>
      <w:r w:rsidR="007E691B" w:rsidRPr="0091228A">
        <w:rPr>
          <w:rFonts w:cstheme="minorHAnsi"/>
        </w:rPr>
        <w:t xml:space="preserve">Utvrđeni posebni ciljevi </w:t>
      </w:r>
      <w:r w:rsidR="00062C4A" w:rsidRPr="0091228A">
        <w:rPr>
          <w:rFonts w:cstheme="minorHAnsi"/>
        </w:rPr>
        <w:t xml:space="preserve"> </w:t>
      </w:r>
      <w:r w:rsidR="007E691B" w:rsidRPr="0091228A">
        <w:rPr>
          <w:rFonts w:cstheme="minorHAnsi"/>
        </w:rPr>
        <w:t>povezan</w:t>
      </w:r>
      <w:r w:rsidR="007C6A0A" w:rsidRPr="0091228A">
        <w:rPr>
          <w:rFonts w:cstheme="minorHAnsi"/>
        </w:rPr>
        <w:t>i</w:t>
      </w:r>
      <w:r w:rsidR="007E691B" w:rsidRPr="0091228A">
        <w:rPr>
          <w:rFonts w:cstheme="minorHAnsi"/>
        </w:rPr>
        <w:t xml:space="preserve"> su s razvojnim potrebama i potencijalima odgovarajućih područja javnih politika kojima se ostvaruje provedba odgovarajućeg strateškog cilja iz hijerarhijski nadređenog akta strateškog planiranja – NRS 2030. Za svaki </w:t>
      </w:r>
      <w:r w:rsidR="00B9554A">
        <w:rPr>
          <w:rFonts w:cstheme="minorHAnsi"/>
        </w:rPr>
        <w:t>posebni</w:t>
      </w:r>
      <w:r w:rsidR="007E691B" w:rsidRPr="0091228A">
        <w:rPr>
          <w:rFonts w:cstheme="minorHAnsi"/>
        </w:rPr>
        <w:t xml:space="preserve"> cilj</w:t>
      </w:r>
      <w:r w:rsidR="005A4FC3">
        <w:rPr>
          <w:rFonts w:cstheme="minorHAnsi"/>
        </w:rPr>
        <w:t xml:space="preserve"> popisane su odgovarajuće mjere koje su detaljno opisane u Prilogu 3. Plana razvoja Brodsko-posavske županije. Također, </w:t>
      </w:r>
      <w:r w:rsidR="007E691B" w:rsidRPr="0091228A">
        <w:rPr>
          <w:rFonts w:cstheme="minorHAnsi"/>
        </w:rPr>
        <w:t xml:space="preserve">odabrani su pokazatelji ishoda iz Biblioteke pokazatelja koji omogućuju praćenje, izvješćivanje i vrednovanje uspješnosti </w:t>
      </w:r>
      <w:r w:rsidR="005A4FC3">
        <w:rPr>
          <w:rFonts w:cstheme="minorHAnsi"/>
        </w:rPr>
        <w:t xml:space="preserve">BPŽ </w:t>
      </w:r>
      <w:r w:rsidR="007E691B" w:rsidRPr="0091228A">
        <w:rPr>
          <w:rFonts w:cstheme="minorHAnsi"/>
        </w:rPr>
        <w:t>u postizanju utvrđenog posebnog cilja. Odabrani pokazatelji ishoda doprinose ostvarenju ciljne vrijednosti pokazatelja učinka iz NRS</w:t>
      </w:r>
      <w:r w:rsidR="00FD2A30">
        <w:rPr>
          <w:rFonts w:cstheme="minorHAnsi"/>
        </w:rPr>
        <w:t>-a</w:t>
      </w:r>
      <w:r w:rsidR="007E691B" w:rsidRPr="0091228A">
        <w:rPr>
          <w:rFonts w:cstheme="minorHAnsi"/>
        </w:rPr>
        <w:t xml:space="preserve"> 2030.</w:t>
      </w:r>
    </w:p>
    <w:p w14:paraId="4F47AB27" w14:textId="77777777" w:rsidR="005A4FC3" w:rsidRPr="0091228A" w:rsidRDefault="005A4FC3" w:rsidP="007E691B">
      <w:pPr>
        <w:jc w:val="both"/>
        <w:rPr>
          <w:rFonts w:cstheme="minorHAnsi"/>
        </w:rPr>
      </w:pPr>
    </w:p>
    <w:p w14:paraId="0D3B373F" w14:textId="77777777" w:rsidR="00A87054" w:rsidRPr="0091228A" w:rsidRDefault="00A87054" w:rsidP="007E691B">
      <w:pPr>
        <w:jc w:val="both"/>
        <w:rPr>
          <w:rFonts w:cstheme="minorHAnsi"/>
        </w:rPr>
      </w:pPr>
    </w:p>
    <w:p w14:paraId="7DC58DAF" w14:textId="612D002C" w:rsidR="006F7FE4" w:rsidRPr="0091228A" w:rsidRDefault="00D43E97" w:rsidP="00D43E97">
      <w:pPr>
        <w:pStyle w:val="Opisslike"/>
        <w:rPr>
          <w:rFonts w:eastAsia="Calibri" w:cstheme="minorHAnsi"/>
          <w:b w:val="0"/>
        </w:rPr>
      </w:pPr>
      <w:bookmarkStart w:id="14" w:name="_Toc83978795"/>
      <w:r w:rsidRPr="0091228A">
        <w:t xml:space="preserve">Tablica </w:t>
      </w:r>
      <w:r w:rsidR="00D922ED">
        <w:rPr>
          <w:noProof/>
        </w:rPr>
        <w:fldChar w:fldCharType="begin"/>
      </w:r>
      <w:r w:rsidR="00D922ED">
        <w:rPr>
          <w:noProof/>
        </w:rPr>
        <w:instrText xml:space="preserve"> SEQ Tablica \* ARABIC </w:instrText>
      </w:r>
      <w:r w:rsidR="00D922ED">
        <w:rPr>
          <w:noProof/>
        </w:rPr>
        <w:fldChar w:fldCharType="separate"/>
      </w:r>
      <w:r w:rsidR="00975640">
        <w:rPr>
          <w:noProof/>
        </w:rPr>
        <w:t>3</w:t>
      </w:r>
      <w:r w:rsidR="00D922ED">
        <w:rPr>
          <w:noProof/>
        </w:rPr>
        <w:fldChar w:fldCharType="end"/>
      </w:r>
      <w:r w:rsidRPr="0091228A">
        <w:t xml:space="preserve">. </w:t>
      </w:r>
      <w:r w:rsidR="006F7FE4" w:rsidRPr="0091228A">
        <w:rPr>
          <w:rFonts w:eastAsia="Calibri" w:cstheme="minorHAnsi"/>
        </w:rPr>
        <w:t>Strateški okvir razvoja Brodsko-posavske županije</w:t>
      </w:r>
      <w:bookmarkEnd w:id="14"/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6F7FE4" w:rsidRPr="0091228A" w14:paraId="2FBD6672" w14:textId="77777777" w:rsidTr="002A17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ED968F7" w14:textId="09CC7092" w:rsidR="006F7FE4" w:rsidRPr="0091228A" w:rsidRDefault="00B9554A" w:rsidP="006F7FE4">
            <w:pPr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Posebni</w:t>
            </w:r>
            <w:r w:rsidR="006F7FE4" w:rsidRPr="00D85CCB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6F7FE4" w:rsidRPr="0091228A">
              <w:rPr>
                <w:rFonts w:asciiTheme="minorHAnsi" w:hAnsiTheme="minorHAnsi" w:cstheme="minorHAnsi"/>
                <w:b/>
                <w:color w:val="FFFFFF"/>
              </w:rPr>
              <w:t>cilj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59C7EE9" w14:textId="77777777" w:rsidR="006F7FE4" w:rsidRPr="0091228A" w:rsidRDefault="006F7FE4" w:rsidP="006F7FE4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1228A">
              <w:rPr>
                <w:rFonts w:asciiTheme="minorHAnsi" w:hAnsiTheme="minorHAnsi" w:cstheme="minorHAnsi"/>
                <w:b/>
                <w:color w:val="FFFFFF"/>
              </w:rPr>
              <w:t>Mjere</w:t>
            </w:r>
          </w:p>
        </w:tc>
      </w:tr>
      <w:tr w:rsidR="006F7FE4" w:rsidRPr="0091228A" w14:paraId="4D1ADED3" w14:textId="77777777" w:rsidTr="002A17A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0FE6ED" w14:textId="77777777" w:rsidR="006F7FE4" w:rsidRPr="0091228A" w:rsidRDefault="006F7FE4" w:rsidP="006F7FE4">
            <w:pPr>
              <w:rPr>
                <w:rFonts w:asciiTheme="minorHAnsi" w:hAnsiTheme="minorHAnsi" w:cstheme="minorHAnsi"/>
                <w:b/>
              </w:rPr>
            </w:pPr>
            <w:r w:rsidRPr="0091228A">
              <w:rPr>
                <w:rFonts w:asciiTheme="minorHAnsi" w:hAnsiTheme="minorHAnsi" w:cstheme="minorHAnsi"/>
                <w:b/>
              </w:rPr>
              <w:t>Prioritet 1. Razvoj konkurentnog i inovativnog gospodarstva  te rast zaposlenosti i stope obrazovanja</w:t>
            </w:r>
          </w:p>
        </w:tc>
      </w:tr>
      <w:tr w:rsidR="006F7FE4" w:rsidRPr="0091228A" w14:paraId="55AC83CD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AE31E7E" w14:textId="2577B28F" w:rsidR="006F7FE4" w:rsidRPr="0091228A" w:rsidRDefault="006F7FE4" w:rsidP="00917731">
            <w:pPr>
              <w:ind w:right="-284"/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>Poseb</w:t>
            </w:r>
            <w:r w:rsidR="003575DD">
              <w:rPr>
                <w:rFonts w:asciiTheme="minorHAnsi" w:hAnsiTheme="minorHAnsi" w:cstheme="minorHAnsi"/>
              </w:rPr>
              <w:t>a</w:t>
            </w:r>
            <w:r w:rsidRPr="0091228A">
              <w:rPr>
                <w:rFonts w:asciiTheme="minorHAnsi" w:hAnsiTheme="minorHAnsi" w:cstheme="minorHAnsi"/>
              </w:rPr>
              <w:t xml:space="preserve">n cilj </w:t>
            </w:r>
            <w:r w:rsidR="00917731">
              <w:rPr>
                <w:rFonts w:asciiTheme="minorHAnsi" w:hAnsiTheme="minorHAnsi" w:cstheme="minorHAnsi"/>
              </w:rPr>
              <w:t>1.</w:t>
            </w:r>
            <w:r w:rsidRPr="0091228A">
              <w:rPr>
                <w:rFonts w:asciiTheme="minorHAnsi" w:hAnsiTheme="minorHAnsi" w:cstheme="minorHAnsi"/>
              </w:rPr>
              <w:t xml:space="preserve"> Razvoj kreativnog i inovativnog poduzetništva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6159973" w14:textId="37B0C05C" w:rsidR="006F7FE4" w:rsidRPr="0091228A" w:rsidRDefault="006F7FE4" w:rsidP="00917731">
            <w:pPr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>M</w:t>
            </w:r>
            <w:r w:rsidR="00917731">
              <w:rPr>
                <w:rFonts w:asciiTheme="minorHAnsi" w:hAnsiTheme="minorHAnsi" w:cstheme="minorHAnsi"/>
              </w:rPr>
              <w:t xml:space="preserve">jera </w:t>
            </w:r>
            <w:r w:rsidRPr="0091228A">
              <w:rPr>
                <w:rFonts w:asciiTheme="minorHAnsi" w:hAnsiTheme="minorHAnsi" w:cstheme="minorHAnsi"/>
              </w:rPr>
              <w:t>1.1. Unapređenje poduzetničke klime i infrastrukture</w:t>
            </w:r>
          </w:p>
        </w:tc>
      </w:tr>
      <w:tr w:rsidR="006F7FE4" w:rsidRPr="0091228A" w14:paraId="43A7B7A7" w14:textId="77777777" w:rsidTr="00502EED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49440F" w14:textId="77777777" w:rsidR="006F7FE4" w:rsidRPr="0091228A" w:rsidRDefault="006F7FE4" w:rsidP="006F7F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3C4E590" w14:textId="31AD3F43" w:rsidR="006F7FE4" w:rsidRPr="0091228A" w:rsidRDefault="006F7FE4" w:rsidP="00917731">
            <w:pPr>
              <w:jc w:val="both"/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>Mjera 1.2. Poticanje ulag</w:t>
            </w:r>
            <w:r w:rsidR="00917731">
              <w:rPr>
                <w:rFonts w:asciiTheme="minorHAnsi" w:hAnsiTheme="minorHAnsi" w:cstheme="minorHAnsi"/>
              </w:rPr>
              <w:t xml:space="preserve">anja u istraživanje i razvoj </w:t>
            </w:r>
          </w:p>
        </w:tc>
      </w:tr>
      <w:tr w:rsidR="006F7FE4" w:rsidRPr="0091228A" w14:paraId="546941AA" w14:textId="77777777" w:rsidTr="00502EED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43D628E" w14:textId="77777777" w:rsidR="006F7FE4" w:rsidRPr="0091228A" w:rsidRDefault="006F7FE4" w:rsidP="006F7F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1FA8FBF" w14:textId="715C6662" w:rsidR="006F7FE4" w:rsidRPr="0091228A" w:rsidRDefault="006F7FE4" w:rsidP="00917731">
            <w:pPr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 xml:space="preserve">Mjera 1.3. Jačanje institucionalne podrške poduzetnicima </w:t>
            </w:r>
          </w:p>
        </w:tc>
      </w:tr>
      <w:tr w:rsidR="002A17A8" w:rsidRPr="0091228A" w14:paraId="1C7FF7AB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169DF4" w14:textId="31CA6C4C" w:rsidR="002A17A8" w:rsidRPr="0091228A" w:rsidRDefault="002A17A8" w:rsidP="006F7FE4">
            <w:pPr>
              <w:rPr>
                <w:rFonts w:cstheme="minorHAnsi"/>
              </w:rPr>
            </w:pPr>
            <w:r w:rsidRPr="0091228A">
              <w:rPr>
                <w:rFonts w:asciiTheme="minorHAnsi" w:hAnsiTheme="minorHAnsi" w:cstheme="minorHAnsi"/>
              </w:rPr>
              <w:lastRenderedPageBreak/>
              <w:t>Posebni cilj 2</w:t>
            </w:r>
            <w:r>
              <w:rPr>
                <w:rFonts w:asciiTheme="minorHAnsi" w:hAnsiTheme="minorHAnsi" w:cstheme="minorHAnsi"/>
              </w:rPr>
              <w:t>.</w:t>
            </w:r>
            <w:r w:rsidRPr="0091228A">
              <w:rPr>
                <w:rFonts w:asciiTheme="minorHAnsi" w:hAnsiTheme="minorHAnsi" w:cstheme="minorHAnsi"/>
              </w:rPr>
              <w:t xml:space="preserve"> Osiguranje perspektivnog tržišta rada i zapošljavanje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B644F2" w14:textId="25A440A1" w:rsidR="002A17A8" w:rsidRPr="0091228A" w:rsidRDefault="002A17A8" w:rsidP="00917731">
            <w:pPr>
              <w:rPr>
                <w:rFonts w:cstheme="minorHAnsi"/>
              </w:rPr>
            </w:pPr>
            <w:r w:rsidRPr="0091228A">
              <w:rPr>
                <w:rFonts w:asciiTheme="minorHAnsi" w:hAnsiTheme="minorHAnsi" w:cstheme="minorHAnsi"/>
              </w:rPr>
              <w:t>Mjera 2.1. Povećanje zaposlenosti i poti</w:t>
            </w:r>
            <w:r>
              <w:rPr>
                <w:rFonts w:asciiTheme="minorHAnsi" w:hAnsiTheme="minorHAnsi" w:cstheme="minorHAnsi"/>
              </w:rPr>
              <w:t>canje društvene uključenosti</w:t>
            </w:r>
          </w:p>
        </w:tc>
      </w:tr>
      <w:tr w:rsidR="002A17A8" w:rsidRPr="0091228A" w14:paraId="7345B58F" w14:textId="77777777" w:rsidTr="00502EED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5090833" w14:textId="1C9FC4D9" w:rsidR="002A17A8" w:rsidRPr="0091228A" w:rsidRDefault="002A17A8" w:rsidP="00917731">
            <w:pPr>
              <w:ind w:right="-284"/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68C6685" w14:textId="53365846" w:rsidR="002A17A8" w:rsidRPr="0091228A" w:rsidRDefault="002A17A8" w:rsidP="00917731">
            <w:pPr>
              <w:jc w:val="both"/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>Mjera 2.2. Poticanje samozapošljavanja i zapošljavanja</w:t>
            </w:r>
          </w:p>
        </w:tc>
      </w:tr>
      <w:tr w:rsidR="006F7FE4" w:rsidRPr="0091228A" w14:paraId="30CEA634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97AB1BC" w14:textId="128490A4" w:rsidR="006F7FE4" w:rsidRPr="0091228A" w:rsidRDefault="00917731" w:rsidP="00917731">
            <w:pPr>
              <w:ind w:right="-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Posebni cilj </w:t>
            </w:r>
            <w:r w:rsidR="006F7FE4" w:rsidRPr="0091228A">
              <w:rPr>
                <w:rFonts w:asciiTheme="minorHAnsi" w:hAnsiTheme="minorHAnsi" w:cstheme="minorHAnsi"/>
              </w:rPr>
              <w:t>3. Razvoj znanosti i obrazovanja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3013804" w14:textId="28E1A1C0" w:rsidR="006F7FE4" w:rsidRPr="0091228A" w:rsidRDefault="006F7FE4" w:rsidP="00917731">
            <w:pPr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 xml:space="preserve">Mjera 3.1. Poticanje ulaganja u znanost i obrazovanje </w:t>
            </w:r>
          </w:p>
        </w:tc>
      </w:tr>
      <w:tr w:rsidR="006F7FE4" w:rsidRPr="0091228A" w14:paraId="0B4BB7B4" w14:textId="77777777" w:rsidTr="00502EED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2CAEDF0" w14:textId="77777777" w:rsidR="006F7FE4" w:rsidRPr="0091228A" w:rsidRDefault="006F7FE4" w:rsidP="006F7F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E16C9E2" w14:textId="0418058E" w:rsidR="006F7FE4" w:rsidRPr="0091228A" w:rsidRDefault="006F7FE4" w:rsidP="00917731">
            <w:pPr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 xml:space="preserve">Mjera 3.2. Unapređenje kvalitete sustava odgoja i obrazovanja kroz nove obrazovne programe i novu infrastrukturu </w:t>
            </w:r>
          </w:p>
        </w:tc>
      </w:tr>
      <w:tr w:rsidR="006F7FE4" w:rsidRPr="0091228A" w14:paraId="187A42B3" w14:textId="77777777" w:rsidTr="00502EED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D31B47" w14:textId="77777777" w:rsidR="006F7FE4" w:rsidRPr="0091228A" w:rsidRDefault="006F7FE4" w:rsidP="006F7F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7CA570D" w14:textId="475880D5" w:rsidR="006F7FE4" w:rsidRPr="0091228A" w:rsidRDefault="006F7FE4" w:rsidP="00917731">
            <w:pPr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>Mjera 3.3. Osiguranje jednakog pristupa obrazovanju</w:t>
            </w:r>
          </w:p>
        </w:tc>
      </w:tr>
      <w:tr w:rsidR="006F7FE4" w:rsidRPr="0091228A" w14:paraId="367F9DA7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55D909D" w14:textId="439F891B" w:rsidR="006F7FE4" w:rsidRPr="0091228A" w:rsidRDefault="00917731" w:rsidP="006F7FE4">
            <w:pPr>
              <w:ind w:right="-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Posebni cilj </w:t>
            </w:r>
            <w:r w:rsidR="006F7FE4" w:rsidRPr="0091228A">
              <w:rPr>
                <w:rFonts w:asciiTheme="minorHAnsi" w:hAnsiTheme="minorHAnsi" w:cstheme="minorHAnsi"/>
              </w:rPr>
              <w:t>4. Održivo korištenje prirodne i kulturne baštine za gospodarski rast i razvoj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181AABC" w14:textId="53818427" w:rsidR="006F7FE4" w:rsidRPr="0091228A" w:rsidRDefault="006F7FE4" w:rsidP="00917731">
            <w:pPr>
              <w:jc w:val="both"/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>Mjera 4.1. Valorizacija i stavljanje u funkciju kulturne i prirodne baštine</w:t>
            </w:r>
          </w:p>
        </w:tc>
      </w:tr>
      <w:tr w:rsidR="006F7FE4" w:rsidRPr="0091228A" w14:paraId="05DAD952" w14:textId="77777777" w:rsidTr="00502EED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8CFE1B7" w14:textId="77777777" w:rsidR="006F7FE4" w:rsidRPr="0091228A" w:rsidRDefault="006F7FE4" w:rsidP="006F7F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12FF59" w14:textId="18E252F2" w:rsidR="006F7FE4" w:rsidRPr="0091228A" w:rsidRDefault="006F7FE4" w:rsidP="00AD26E0">
            <w:pPr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 xml:space="preserve">Mjera 4.2. Poticanje razvoja selektivnih oblika turizma </w:t>
            </w:r>
          </w:p>
        </w:tc>
      </w:tr>
      <w:tr w:rsidR="006F7FE4" w:rsidRPr="0091228A" w14:paraId="14236C17" w14:textId="77777777" w:rsidTr="00502EED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CFC60D" w14:textId="77777777" w:rsidR="006F7FE4" w:rsidRPr="0091228A" w:rsidRDefault="006F7FE4" w:rsidP="006F7F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8EDC175" w14:textId="0F5AE4D7" w:rsidR="006F7FE4" w:rsidRPr="0091228A" w:rsidRDefault="006F7FE4" w:rsidP="00AD26E0">
            <w:pPr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>Mjera 4.3. Jačanje turističke destinacije</w:t>
            </w:r>
          </w:p>
        </w:tc>
      </w:tr>
      <w:tr w:rsidR="006F7FE4" w:rsidRPr="0091228A" w14:paraId="60AF3311" w14:textId="77777777" w:rsidTr="002A17A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F665E1" w14:textId="529D1801" w:rsidR="006F7FE4" w:rsidRPr="0091228A" w:rsidRDefault="006F7FE4" w:rsidP="006F7FE4">
            <w:pPr>
              <w:rPr>
                <w:rFonts w:asciiTheme="minorHAnsi" w:hAnsiTheme="minorHAnsi" w:cstheme="minorHAnsi"/>
                <w:b/>
              </w:rPr>
            </w:pPr>
            <w:r w:rsidRPr="0091228A">
              <w:rPr>
                <w:rFonts w:asciiTheme="minorHAnsi" w:hAnsiTheme="minorHAnsi" w:cstheme="minorHAnsi"/>
                <w:b/>
              </w:rPr>
              <w:t>Prioritet 2. Demografska revitalizacija</w:t>
            </w:r>
            <w:r w:rsidR="003575DD">
              <w:rPr>
                <w:rFonts w:asciiTheme="minorHAnsi" w:hAnsiTheme="minorHAnsi" w:cstheme="minorHAnsi"/>
                <w:b/>
              </w:rPr>
              <w:t>,</w:t>
            </w:r>
            <w:r w:rsidRPr="0091228A">
              <w:rPr>
                <w:rFonts w:asciiTheme="minorHAnsi" w:hAnsiTheme="minorHAnsi" w:cstheme="minorHAnsi"/>
                <w:b/>
              </w:rPr>
              <w:t xml:space="preserve"> kvalitetan život i sigurnost za stabilan razvoj NRS</w:t>
            </w:r>
            <w:r w:rsidR="003575DD">
              <w:rPr>
                <w:rFonts w:asciiTheme="minorHAnsi" w:hAnsiTheme="minorHAnsi" w:cstheme="minorHAnsi"/>
                <w:b/>
              </w:rPr>
              <w:t>-a</w:t>
            </w:r>
            <w:r w:rsidRPr="0091228A">
              <w:rPr>
                <w:rFonts w:asciiTheme="minorHAnsi" w:hAnsiTheme="minorHAnsi" w:cstheme="minorHAnsi"/>
                <w:b/>
              </w:rPr>
              <w:t xml:space="preserve"> 2030</w:t>
            </w:r>
          </w:p>
        </w:tc>
      </w:tr>
      <w:tr w:rsidR="006F7FE4" w:rsidRPr="0091228A" w14:paraId="4AE44E85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C46F435" w14:textId="19EF9AEB" w:rsidR="006F7FE4" w:rsidRPr="0091228A" w:rsidRDefault="006F7FE4" w:rsidP="00917731">
            <w:pPr>
              <w:ind w:right="-284"/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>Poseb</w:t>
            </w:r>
            <w:r w:rsidR="009442D4">
              <w:rPr>
                <w:rFonts w:asciiTheme="minorHAnsi" w:hAnsiTheme="minorHAnsi" w:cstheme="minorHAnsi"/>
              </w:rPr>
              <w:t>ni</w:t>
            </w:r>
            <w:r w:rsidRPr="0091228A">
              <w:rPr>
                <w:rFonts w:asciiTheme="minorHAnsi" w:hAnsiTheme="minorHAnsi" w:cstheme="minorHAnsi"/>
              </w:rPr>
              <w:t xml:space="preserve"> cilj </w:t>
            </w:r>
            <w:r w:rsidR="00917731">
              <w:rPr>
                <w:rFonts w:asciiTheme="minorHAnsi" w:hAnsiTheme="minorHAnsi" w:cstheme="minorHAnsi"/>
              </w:rPr>
              <w:t>5</w:t>
            </w:r>
            <w:r w:rsidRPr="0091228A">
              <w:rPr>
                <w:rFonts w:asciiTheme="minorHAnsi" w:hAnsiTheme="minorHAnsi" w:cstheme="minorHAnsi"/>
              </w:rPr>
              <w:t>. Demografski rast i aktivno življenje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1377B7" w14:textId="5A1F3E02" w:rsidR="006F7FE4" w:rsidRPr="0091228A" w:rsidRDefault="006F7FE4" w:rsidP="00AD26E0">
            <w:pPr>
              <w:jc w:val="both"/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 xml:space="preserve">Mjera </w:t>
            </w:r>
            <w:r w:rsidR="00917731">
              <w:rPr>
                <w:rFonts w:asciiTheme="minorHAnsi" w:hAnsiTheme="minorHAnsi" w:cstheme="minorHAnsi"/>
              </w:rPr>
              <w:t>5</w:t>
            </w:r>
            <w:r w:rsidRPr="0091228A">
              <w:rPr>
                <w:rFonts w:asciiTheme="minorHAnsi" w:hAnsiTheme="minorHAnsi" w:cstheme="minorHAnsi"/>
              </w:rPr>
              <w:t xml:space="preserve">.1. Poticanje pronatalitetne politike </w:t>
            </w:r>
          </w:p>
        </w:tc>
      </w:tr>
      <w:tr w:rsidR="006F7FE4" w:rsidRPr="0091228A" w14:paraId="042568BB" w14:textId="77777777" w:rsidTr="00502EED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A51025" w14:textId="77777777" w:rsidR="006F7FE4" w:rsidRPr="0091228A" w:rsidRDefault="006F7FE4" w:rsidP="006F7F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E692E63" w14:textId="2B202C7B" w:rsidR="006F7FE4" w:rsidRPr="0091228A" w:rsidRDefault="006F7FE4" w:rsidP="00AD26E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91228A">
              <w:rPr>
                <w:rFonts w:asciiTheme="minorHAnsi" w:eastAsia="Times New Roman" w:hAnsiTheme="minorHAnsi" w:cstheme="minorHAnsi"/>
                <w:lang w:eastAsia="hr-HR"/>
              </w:rPr>
              <w:t xml:space="preserve">Mjera </w:t>
            </w:r>
            <w:r w:rsidR="00917731">
              <w:rPr>
                <w:rFonts w:asciiTheme="minorHAnsi" w:eastAsia="Times New Roman" w:hAnsiTheme="minorHAnsi" w:cstheme="minorHAnsi"/>
                <w:lang w:eastAsia="hr-HR"/>
              </w:rPr>
              <w:t>5</w:t>
            </w:r>
            <w:r w:rsidRPr="0091228A">
              <w:rPr>
                <w:rFonts w:asciiTheme="minorHAnsi" w:eastAsia="Times New Roman" w:hAnsiTheme="minorHAnsi" w:cstheme="minorHAnsi"/>
                <w:lang w:eastAsia="hr-HR"/>
              </w:rPr>
              <w:t xml:space="preserve">.2. Zaustavljanje iseljavanja mladih </w:t>
            </w:r>
          </w:p>
        </w:tc>
      </w:tr>
      <w:tr w:rsidR="006F7FE4" w:rsidRPr="0091228A" w14:paraId="33DB6088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2F7C77" w14:textId="63D590BB" w:rsidR="006F7FE4" w:rsidRPr="0091228A" w:rsidRDefault="006F7FE4" w:rsidP="00917731">
            <w:pPr>
              <w:ind w:right="-284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91228A">
              <w:rPr>
                <w:rFonts w:asciiTheme="minorHAnsi" w:eastAsia="Times New Roman" w:hAnsiTheme="minorHAnsi" w:cstheme="minorHAnsi"/>
                <w:lang w:eastAsia="hr-HR"/>
              </w:rPr>
              <w:t>Poseb</w:t>
            </w:r>
            <w:r w:rsidR="009442D4">
              <w:rPr>
                <w:rFonts w:asciiTheme="minorHAnsi" w:eastAsia="Times New Roman" w:hAnsiTheme="minorHAnsi" w:cstheme="minorHAnsi"/>
                <w:lang w:eastAsia="hr-HR"/>
              </w:rPr>
              <w:t>ni</w:t>
            </w:r>
            <w:r w:rsidRPr="0091228A">
              <w:rPr>
                <w:rFonts w:asciiTheme="minorHAnsi" w:eastAsia="Times New Roman" w:hAnsiTheme="minorHAnsi" w:cstheme="minorHAnsi"/>
                <w:lang w:eastAsia="hr-HR"/>
              </w:rPr>
              <w:t xml:space="preserve"> cilj </w:t>
            </w:r>
            <w:r w:rsidR="00917731">
              <w:rPr>
                <w:rFonts w:asciiTheme="minorHAnsi" w:eastAsia="Times New Roman" w:hAnsiTheme="minorHAnsi" w:cstheme="minorHAnsi"/>
                <w:lang w:eastAsia="hr-HR"/>
              </w:rPr>
              <w:t>6</w:t>
            </w:r>
            <w:r w:rsidRPr="0091228A">
              <w:rPr>
                <w:rFonts w:asciiTheme="minorHAnsi" w:eastAsia="Times New Roman" w:hAnsiTheme="minorHAnsi" w:cstheme="minorHAnsi"/>
                <w:lang w:eastAsia="hr-HR"/>
              </w:rPr>
              <w:t>. Ulaganje</w:t>
            </w:r>
            <w:r w:rsidR="003575DD">
              <w:rPr>
                <w:rFonts w:asciiTheme="minorHAnsi" w:eastAsia="Times New Roman" w:hAnsiTheme="minorHAnsi" w:cstheme="minorHAnsi"/>
                <w:lang w:eastAsia="hr-HR"/>
              </w:rPr>
              <w:t xml:space="preserve"> u </w:t>
            </w:r>
            <w:r w:rsidRPr="0091228A">
              <w:rPr>
                <w:rFonts w:asciiTheme="minorHAnsi" w:eastAsia="Times New Roman" w:hAnsiTheme="minorHAnsi" w:cstheme="minorHAnsi"/>
                <w:lang w:eastAsia="hr-HR"/>
              </w:rPr>
              <w:t>u zdravstvenu i socijalnu skrb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AC6B359" w14:textId="20359C22" w:rsidR="006F7FE4" w:rsidRPr="0091228A" w:rsidRDefault="008513FC" w:rsidP="00917731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Mjera </w:t>
            </w:r>
            <w:r w:rsidR="00917731">
              <w:rPr>
                <w:rFonts w:asciiTheme="minorHAnsi" w:eastAsia="Times New Roman" w:hAnsiTheme="minorHAnsi" w:cstheme="minorHAnsi"/>
                <w:lang w:eastAsia="hr-HR"/>
              </w:rPr>
              <w:t>6</w:t>
            </w:r>
            <w:r w:rsidR="006F7FE4" w:rsidRPr="0091228A">
              <w:rPr>
                <w:rFonts w:asciiTheme="minorHAnsi" w:eastAsia="Times New Roman" w:hAnsiTheme="minorHAnsi" w:cstheme="minorHAnsi"/>
                <w:lang w:eastAsia="hr-HR"/>
              </w:rPr>
              <w:t>.1. Povećanje dostupnosti i kvalitete uslug</w:t>
            </w:r>
            <w:r w:rsidR="00AD26E0">
              <w:rPr>
                <w:rFonts w:asciiTheme="minorHAnsi" w:eastAsia="Times New Roman" w:hAnsiTheme="minorHAnsi" w:cstheme="minorHAnsi"/>
                <w:lang w:eastAsia="hr-HR"/>
              </w:rPr>
              <w:t>a u sustavu zdravstvene skrbi</w:t>
            </w:r>
          </w:p>
        </w:tc>
      </w:tr>
      <w:tr w:rsidR="006F7FE4" w:rsidRPr="0091228A" w14:paraId="30A70948" w14:textId="77777777" w:rsidTr="00502EED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131D59" w14:textId="77777777" w:rsidR="006F7FE4" w:rsidRPr="0091228A" w:rsidRDefault="006F7FE4" w:rsidP="006F7FE4">
            <w:pPr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2598DF0" w14:textId="7D7F108C" w:rsidR="006F7FE4" w:rsidRPr="0091228A" w:rsidRDefault="006F7FE4" w:rsidP="00917731">
            <w:pPr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 xml:space="preserve">Mjera </w:t>
            </w:r>
            <w:r w:rsidR="00917731">
              <w:rPr>
                <w:rFonts w:asciiTheme="minorHAnsi" w:hAnsiTheme="minorHAnsi" w:cstheme="minorHAnsi"/>
              </w:rPr>
              <w:t>6</w:t>
            </w:r>
            <w:r w:rsidRPr="0091228A">
              <w:rPr>
                <w:rFonts w:asciiTheme="minorHAnsi" w:hAnsiTheme="minorHAnsi" w:cstheme="minorHAnsi"/>
              </w:rPr>
              <w:t>.2. Povećanje dostupnosti i kvalitete usl</w:t>
            </w:r>
            <w:r w:rsidR="00AD26E0">
              <w:rPr>
                <w:rFonts w:asciiTheme="minorHAnsi" w:hAnsiTheme="minorHAnsi" w:cstheme="minorHAnsi"/>
              </w:rPr>
              <w:t>uga u sustavu socijalne skrbi</w:t>
            </w:r>
          </w:p>
        </w:tc>
      </w:tr>
      <w:tr w:rsidR="006F7FE4" w:rsidRPr="0091228A" w14:paraId="7E80C024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31BD884" w14:textId="33CBC9AC" w:rsidR="006F7FE4" w:rsidRPr="0091228A" w:rsidRDefault="006F7FE4" w:rsidP="00917731">
            <w:pPr>
              <w:ind w:right="-284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91228A">
              <w:rPr>
                <w:rFonts w:asciiTheme="minorHAnsi" w:eastAsia="Times New Roman" w:hAnsiTheme="minorHAnsi" w:cstheme="minorHAnsi"/>
                <w:lang w:eastAsia="hr-HR"/>
              </w:rPr>
              <w:t xml:space="preserve">Posebni cilj </w:t>
            </w:r>
            <w:r w:rsidR="00917731">
              <w:rPr>
                <w:rFonts w:asciiTheme="minorHAnsi" w:eastAsia="Times New Roman" w:hAnsiTheme="minorHAnsi" w:cstheme="minorHAnsi"/>
                <w:lang w:eastAsia="hr-HR"/>
              </w:rPr>
              <w:t>7</w:t>
            </w:r>
            <w:r w:rsidRPr="0091228A">
              <w:rPr>
                <w:rFonts w:asciiTheme="minorHAnsi" w:eastAsia="Times New Roman" w:hAnsiTheme="minorHAnsi" w:cstheme="minorHAnsi"/>
                <w:lang w:eastAsia="hr-HR"/>
              </w:rPr>
              <w:t>. Ulaganja u kulturu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E4DECC3" w14:textId="5F61A59C" w:rsidR="006F7FE4" w:rsidRPr="0091228A" w:rsidRDefault="006F7FE4" w:rsidP="00917731">
            <w:pPr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 xml:space="preserve">Mjera </w:t>
            </w:r>
            <w:r w:rsidR="00917731">
              <w:rPr>
                <w:rFonts w:asciiTheme="minorHAnsi" w:hAnsiTheme="minorHAnsi" w:cstheme="minorHAnsi"/>
              </w:rPr>
              <w:t>7</w:t>
            </w:r>
            <w:r w:rsidRPr="0091228A">
              <w:rPr>
                <w:rFonts w:asciiTheme="minorHAnsi" w:hAnsiTheme="minorHAnsi" w:cstheme="minorHAnsi"/>
              </w:rPr>
              <w:t>.1. Poticanje ulagan</w:t>
            </w:r>
            <w:r w:rsidR="00AD26E0">
              <w:rPr>
                <w:rFonts w:asciiTheme="minorHAnsi" w:hAnsiTheme="minorHAnsi" w:cstheme="minorHAnsi"/>
              </w:rPr>
              <w:t>ja u infrastrukturu u kulturi</w:t>
            </w:r>
          </w:p>
        </w:tc>
      </w:tr>
      <w:tr w:rsidR="006F7FE4" w:rsidRPr="0091228A" w14:paraId="71BE6DA9" w14:textId="77777777" w:rsidTr="00502EED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C5813F9" w14:textId="77777777" w:rsidR="006F7FE4" w:rsidRPr="0091228A" w:rsidRDefault="006F7FE4" w:rsidP="006F7FE4">
            <w:pPr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030AB4" w14:textId="2F0F5FF9" w:rsidR="006F7FE4" w:rsidRPr="0091228A" w:rsidRDefault="006F7FE4" w:rsidP="00917731">
            <w:pPr>
              <w:rPr>
                <w:rFonts w:asciiTheme="minorHAnsi" w:eastAsia="Times New Roman" w:hAnsiTheme="minorHAnsi" w:cstheme="minorHAnsi"/>
              </w:rPr>
            </w:pPr>
            <w:r w:rsidRPr="0091228A">
              <w:rPr>
                <w:rFonts w:asciiTheme="minorHAnsi" w:eastAsia="Times New Roman" w:hAnsiTheme="minorHAnsi" w:cstheme="minorHAnsi"/>
                <w:lang w:eastAsia="hr-HR"/>
              </w:rPr>
              <w:t xml:space="preserve">Mjera </w:t>
            </w:r>
            <w:r w:rsidR="00917731">
              <w:rPr>
                <w:rFonts w:asciiTheme="minorHAnsi" w:eastAsia="Times New Roman" w:hAnsiTheme="minorHAnsi" w:cstheme="minorHAnsi"/>
                <w:lang w:eastAsia="hr-HR"/>
              </w:rPr>
              <w:t>7</w:t>
            </w:r>
            <w:r w:rsidRPr="0091228A">
              <w:rPr>
                <w:rFonts w:asciiTheme="minorHAnsi" w:eastAsia="Times New Roman" w:hAnsiTheme="minorHAnsi" w:cstheme="minorHAnsi"/>
                <w:lang w:eastAsia="hr-HR"/>
              </w:rPr>
              <w:t>.2. Podrška kulturno umjetničkim program</w:t>
            </w:r>
            <w:r w:rsidR="00AD26E0">
              <w:rPr>
                <w:rFonts w:asciiTheme="minorHAnsi" w:eastAsia="Times New Roman" w:hAnsiTheme="minorHAnsi" w:cstheme="minorHAnsi"/>
                <w:lang w:eastAsia="hr-HR"/>
              </w:rPr>
              <w:t xml:space="preserve">ima i radu kulturnih društava </w:t>
            </w:r>
          </w:p>
        </w:tc>
      </w:tr>
      <w:tr w:rsidR="006F7FE4" w:rsidRPr="0091228A" w14:paraId="5D286051" w14:textId="77777777" w:rsidTr="002A17A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81D72B" w14:textId="77777777" w:rsidR="006F7FE4" w:rsidRPr="0091228A" w:rsidRDefault="006F7FE4" w:rsidP="006F7FE4">
            <w:pPr>
              <w:rPr>
                <w:rFonts w:asciiTheme="minorHAnsi" w:hAnsiTheme="minorHAnsi" w:cstheme="minorHAnsi"/>
                <w:b/>
              </w:rPr>
            </w:pPr>
            <w:r w:rsidRPr="0091228A">
              <w:rPr>
                <w:rFonts w:asciiTheme="minorHAnsi" w:hAnsiTheme="minorHAnsi" w:cstheme="minorHAnsi"/>
                <w:b/>
              </w:rPr>
              <w:t>Prioritet 3. Zelena i digitalna tranzicija gospodarstva i društva</w:t>
            </w:r>
          </w:p>
        </w:tc>
      </w:tr>
      <w:tr w:rsidR="006F7FE4" w:rsidRPr="0091228A" w14:paraId="24D3BB5B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103D924" w14:textId="66F57AEF" w:rsidR="006F7FE4" w:rsidRPr="0091228A" w:rsidRDefault="006F7FE4" w:rsidP="00917731">
            <w:pPr>
              <w:ind w:right="-284"/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 xml:space="preserve">Posebni cilj </w:t>
            </w:r>
            <w:r w:rsidR="00917731">
              <w:rPr>
                <w:rFonts w:asciiTheme="minorHAnsi" w:hAnsiTheme="minorHAnsi" w:cstheme="minorHAnsi"/>
              </w:rPr>
              <w:t>8</w:t>
            </w:r>
            <w:r w:rsidRPr="0091228A">
              <w:rPr>
                <w:rFonts w:asciiTheme="minorHAnsi" w:hAnsiTheme="minorHAnsi" w:cstheme="minorHAnsi"/>
              </w:rPr>
              <w:t>. Razvoj klasičnih grana gospodarstva korištenjem zelene i digitalne tranzicije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BAE327D" w14:textId="72E57586" w:rsidR="006F7FE4" w:rsidRPr="0091228A" w:rsidRDefault="006F7FE4" w:rsidP="00AD26E0">
            <w:pPr>
              <w:jc w:val="both"/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 xml:space="preserve">Mjera </w:t>
            </w:r>
            <w:r w:rsidR="00917731">
              <w:rPr>
                <w:rFonts w:asciiTheme="minorHAnsi" w:hAnsiTheme="minorHAnsi" w:cstheme="minorHAnsi"/>
              </w:rPr>
              <w:t>8</w:t>
            </w:r>
            <w:r w:rsidRPr="0091228A">
              <w:rPr>
                <w:rFonts w:asciiTheme="minorHAnsi" w:hAnsiTheme="minorHAnsi" w:cstheme="minorHAnsi"/>
              </w:rPr>
              <w:t>.1. Privlačenje investicija i promocija BPŽ</w:t>
            </w:r>
            <w:r w:rsidR="0085400A">
              <w:rPr>
                <w:rFonts w:asciiTheme="minorHAnsi" w:hAnsiTheme="minorHAnsi" w:cstheme="minorHAnsi"/>
              </w:rPr>
              <w:t>-a</w:t>
            </w:r>
            <w:r w:rsidRPr="0091228A">
              <w:rPr>
                <w:rFonts w:asciiTheme="minorHAnsi" w:hAnsiTheme="minorHAnsi" w:cstheme="minorHAnsi"/>
              </w:rPr>
              <w:t xml:space="preserve"> kao privlačne destinacije za gospodarske subjekte</w:t>
            </w:r>
          </w:p>
        </w:tc>
      </w:tr>
      <w:tr w:rsidR="006F7FE4" w:rsidRPr="0091228A" w14:paraId="71F9AD4E" w14:textId="77777777" w:rsidTr="00502EED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C752A5" w14:textId="77777777" w:rsidR="006F7FE4" w:rsidRPr="0091228A" w:rsidRDefault="006F7FE4" w:rsidP="006F7F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BA73D0" w14:textId="1F34079F" w:rsidR="006F7FE4" w:rsidRPr="0091228A" w:rsidRDefault="006F7FE4" w:rsidP="00AD26E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91228A">
              <w:rPr>
                <w:rFonts w:asciiTheme="minorHAnsi" w:eastAsia="Times New Roman" w:hAnsiTheme="minorHAnsi" w:cstheme="minorHAnsi"/>
                <w:lang w:eastAsia="hr-HR"/>
              </w:rPr>
              <w:t xml:space="preserve">Mjera </w:t>
            </w:r>
            <w:r w:rsidR="00917731">
              <w:rPr>
                <w:rFonts w:asciiTheme="minorHAnsi" w:eastAsia="Times New Roman" w:hAnsiTheme="minorHAnsi" w:cstheme="minorHAnsi"/>
                <w:lang w:eastAsia="hr-HR"/>
              </w:rPr>
              <w:t>8</w:t>
            </w:r>
            <w:r w:rsidRPr="0091228A">
              <w:rPr>
                <w:rFonts w:asciiTheme="minorHAnsi" w:eastAsia="Times New Roman" w:hAnsiTheme="minorHAnsi" w:cstheme="minorHAnsi"/>
                <w:lang w:eastAsia="hr-HR"/>
              </w:rPr>
              <w:t xml:space="preserve">.2. Poticanje informatizacije i digitalizacije poslovanja </w:t>
            </w:r>
          </w:p>
        </w:tc>
      </w:tr>
      <w:tr w:rsidR="006F7FE4" w:rsidRPr="0091228A" w14:paraId="2BF08D56" w14:textId="77777777" w:rsidTr="00502EED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7A72C3" w14:textId="77777777" w:rsidR="006F7FE4" w:rsidRPr="0091228A" w:rsidRDefault="006F7FE4" w:rsidP="006F7F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916C31" w14:textId="54CEBCFD" w:rsidR="006F7FE4" w:rsidRPr="0091228A" w:rsidRDefault="006F7FE4" w:rsidP="00917731">
            <w:pPr>
              <w:rPr>
                <w:rFonts w:asciiTheme="minorHAnsi" w:hAnsiTheme="minorHAnsi" w:cstheme="minorHAnsi"/>
              </w:rPr>
            </w:pPr>
            <w:r w:rsidRPr="0091228A">
              <w:rPr>
                <w:rFonts w:asciiTheme="minorHAnsi" w:hAnsiTheme="minorHAnsi" w:cstheme="minorHAnsi"/>
              </w:rPr>
              <w:t xml:space="preserve">Mjera </w:t>
            </w:r>
            <w:r w:rsidR="00917731">
              <w:rPr>
                <w:rFonts w:asciiTheme="minorHAnsi" w:hAnsiTheme="minorHAnsi" w:cstheme="minorHAnsi"/>
              </w:rPr>
              <w:t>8.</w:t>
            </w:r>
            <w:r w:rsidRPr="0091228A">
              <w:rPr>
                <w:rFonts w:asciiTheme="minorHAnsi" w:hAnsiTheme="minorHAnsi" w:cstheme="minorHAnsi"/>
              </w:rPr>
              <w:t>3. Poticanje dr</w:t>
            </w:r>
            <w:r w:rsidR="00AD26E0">
              <w:rPr>
                <w:rFonts w:asciiTheme="minorHAnsi" w:hAnsiTheme="minorHAnsi" w:cstheme="minorHAnsi"/>
              </w:rPr>
              <w:t>uštveno odgovornog poslovanja</w:t>
            </w:r>
          </w:p>
        </w:tc>
      </w:tr>
      <w:tr w:rsidR="002A17A8" w:rsidRPr="0091228A" w14:paraId="18FD526C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8CD6B9" w14:textId="7D68C36F" w:rsidR="002A17A8" w:rsidRPr="0091228A" w:rsidRDefault="002A17A8" w:rsidP="002A17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Posebni cilj 9. </w:t>
            </w:r>
            <w:r w:rsidRPr="0052679E">
              <w:rPr>
                <w:rFonts w:cstheme="minorHAnsi"/>
              </w:rPr>
              <w:t>Razvoj bio</w:t>
            </w:r>
            <w:r w:rsidR="00B20915">
              <w:rPr>
                <w:rFonts w:cstheme="minorHAnsi"/>
              </w:rPr>
              <w:t>ekonomije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1627B0" w14:textId="65676F4A" w:rsidR="002A17A8" w:rsidRPr="0091228A" w:rsidRDefault="002A17A8" w:rsidP="0052679E">
            <w:pPr>
              <w:rPr>
                <w:rFonts w:cstheme="minorHAnsi"/>
              </w:rPr>
            </w:pPr>
            <w:r w:rsidRPr="0052679E">
              <w:rPr>
                <w:rFonts w:cstheme="minorHAnsi"/>
              </w:rPr>
              <w:t>Mjera 9.1. Poticanje ulaganja u razvoj bioekonomije</w:t>
            </w:r>
          </w:p>
        </w:tc>
      </w:tr>
      <w:tr w:rsidR="002A17A8" w:rsidRPr="0091228A" w14:paraId="17207A1F" w14:textId="77777777" w:rsidTr="00502EED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01D2C8" w14:textId="77777777" w:rsidR="002A17A8" w:rsidRDefault="002A17A8" w:rsidP="002A17A8">
            <w:pPr>
              <w:rPr>
                <w:rFonts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0035E6" w14:textId="1C13BC35" w:rsidR="002A17A8" w:rsidRPr="0052679E" w:rsidRDefault="002A17A8" w:rsidP="002A17A8">
            <w:pPr>
              <w:rPr>
                <w:rFonts w:cstheme="minorHAnsi"/>
              </w:rPr>
            </w:pPr>
            <w:r w:rsidRPr="007967B6">
              <w:rPr>
                <w:rFonts w:cstheme="minorHAnsi"/>
              </w:rPr>
              <w:t>Mjera 9.2. Ulaganja u porast produktivnosti i kvalitete poljoprivrednih proizvoda te razvoj lokalnog tržišta</w:t>
            </w:r>
          </w:p>
        </w:tc>
      </w:tr>
      <w:tr w:rsidR="002A17A8" w:rsidRPr="0091228A" w14:paraId="363EFAE6" w14:textId="77777777" w:rsidTr="00502EED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D87DE0" w14:textId="77777777" w:rsidR="002A17A8" w:rsidRDefault="002A17A8" w:rsidP="002A17A8">
            <w:pPr>
              <w:rPr>
                <w:rFonts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61E29A" w14:textId="3C27FED1" w:rsidR="002A17A8" w:rsidRPr="0052679E" w:rsidRDefault="002A17A8" w:rsidP="002A17A8">
            <w:pPr>
              <w:rPr>
                <w:rFonts w:cstheme="minorHAnsi"/>
              </w:rPr>
            </w:pPr>
            <w:r w:rsidRPr="007967B6">
              <w:rPr>
                <w:rFonts w:cstheme="minorHAnsi"/>
              </w:rPr>
              <w:t>Mjera 9.3. Stavljanje u funkciju zapuštenih poljoprivrednih zemljišta okrupnjavanjem i navodnjavanjem</w:t>
            </w:r>
          </w:p>
        </w:tc>
      </w:tr>
      <w:tr w:rsidR="002A17A8" w:rsidRPr="0091228A" w14:paraId="05D7E9D0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FB7A6" w14:textId="3CC81FE9" w:rsidR="002A17A8" w:rsidRPr="0091228A" w:rsidRDefault="002A17A8" w:rsidP="002A17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Posebni cilj 10. </w:t>
            </w:r>
            <w:r w:rsidRPr="0052679E">
              <w:rPr>
                <w:rFonts w:cstheme="minorHAnsi"/>
              </w:rPr>
              <w:t xml:space="preserve">Intenzivno korištenje obnovljivih izvora energije i podizanje energetske učinkovitosti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4540E9" w14:textId="7BA67AF6" w:rsidR="002A17A8" w:rsidRPr="0091228A" w:rsidRDefault="002A17A8" w:rsidP="002A17A8">
            <w:pPr>
              <w:rPr>
                <w:rFonts w:cstheme="minorHAnsi"/>
              </w:rPr>
            </w:pPr>
            <w:r w:rsidRPr="0052679E">
              <w:rPr>
                <w:rFonts w:cstheme="minorHAnsi"/>
              </w:rPr>
              <w:t>Mjera 10.1. Porast energetske učinkovitosti</w:t>
            </w:r>
          </w:p>
        </w:tc>
      </w:tr>
      <w:tr w:rsidR="002A17A8" w:rsidRPr="0091228A" w14:paraId="3FCF8706" w14:textId="77777777" w:rsidTr="00502EED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41115D" w14:textId="77777777" w:rsidR="002A17A8" w:rsidRDefault="002A17A8" w:rsidP="0052679E">
            <w:pPr>
              <w:rPr>
                <w:rFonts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43E5B0" w14:textId="53DDB646" w:rsidR="002A17A8" w:rsidRPr="0052679E" w:rsidRDefault="002A17A8" w:rsidP="0052679E">
            <w:pPr>
              <w:rPr>
                <w:rFonts w:cstheme="minorHAnsi"/>
              </w:rPr>
            </w:pPr>
            <w:r w:rsidRPr="0052679E">
              <w:rPr>
                <w:rFonts w:cstheme="minorHAnsi"/>
              </w:rPr>
              <w:t>Mjera 10.2. Povećanje korištenja obnovljivih izvora energije</w:t>
            </w:r>
          </w:p>
        </w:tc>
      </w:tr>
      <w:tr w:rsidR="002A17A8" w:rsidRPr="0091228A" w14:paraId="22FAA9D7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3188C2" w14:textId="252BA167" w:rsidR="002A17A8" w:rsidRPr="0091228A" w:rsidRDefault="002A17A8" w:rsidP="006F7F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Posebni cilj 11. </w:t>
            </w:r>
            <w:r w:rsidRPr="0052679E">
              <w:rPr>
                <w:rFonts w:cstheme="minorHAnsi"/>
              </w:rPr>
              <w:t>Daljnji razvoj komunalne, prome</w:t>
            </w:r>
            <w:r>
              <w:rPr>
                <w:rFonts w:cstheme="minorHAnsi"/>
              </w:rPr>
              <w:t xml:space="preserve">tne i društvene infrastrukture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585D28" w14:textId="14218A50" w:rsidR="002A17A8" w:rsidRPr="0091228A" w:rsidRDefault="002A17A8" w:rsidP="00917731">
            <w:pPr>
              <w:rPr>
                <w:rFonts w:cstheme="minorHAnsi"/>
              </w:rPr>
            </w:pPr>
            <w:r w:rsidRPr="0052679E">
              <w:rPr>
                <w:rFonts w:cstheme="minorHAnsi"/>
              </w:rPr>
              <w:t>Mjera 11.1. Ulaganje u sustave vodovoda i odvodnje te pročišćavanja otpadnih voda</w:t>
            </w:r>
          </w:p>
        </w:tc>
      </w:tr>
      <w:tr w:rsidR="002A17A8" w:rsidRPr="0091228A" w14:paraId="351B5F31" w14:textId="77777777" w:rsidTr="00502EED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5CF877" w14:textId="77777777" w:rsidR="002A17A8" w:rsidRDefault="002A17A8" w:rsidP="002A17A8">
            <w:pPr>
              <w:rPr>
                <w:rFonts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B4AB46" w14:textId="5E776380" w:rsidR="002A17A8" w:rsidRPr="0052679E" w:rsidRDefault="002A17A8" w:rsidP="002A17A8">
            <w:pPr>
              <w:rPr>
                <w:rFonts w:cstheme="minorHAnsi"/>
              </w:rPr>
            </w:pPr>
            <w:r w:rsidRPr="00025EA6">
              <w:rPr>
                <w:rFonts w:cstheme="minorHAnsi"/>
              </w:rPr>
              <w:t>Mjera 11.2. Razvoj cirkularnog gospodarstva i održivo gospodarenje otpadom</w:t>
            </w:r>
          </w:p>
        </w:tc>
      </w:tr>
      <w:tr w:rsidR="002A17A8" w:rsidRPr="0091228A" w14:paraId="6D580ABD" w14:textId="77777777" w:rsidTr="00502EED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0270C1" w14:textId="77777777" w:rsidR="002A17A8" w:rsidRDefault="002A17A8" w:rsidP="002A17A8">
            <w:pPr>
              <w:rPr>
                <w:rFonts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AC8430" w14:textId="25311AB1" w:rsidR="002A17A8" w:rsidRPr="0052679E" w:rsidRDefault="002A17A8" w:rsidP="002A17A8">
            <w:pPr>
              <w:rPr>
                <w:rFonts w:cstheme="minorHAnsi"/>
              </w:rPr>
            </w:pPr>
            <w:r w:rsidRPr="00025EA6">
              <w:rPr>
                <w:rFonts w:cstheme="minorHAnsi"/>
              </w:rPr>
              <w:t>Mjera 11.3. Ulaganje u cestovni, željeznički i riječni promet</w:t>
            </w:r>
          </w:p>
        </w:tc>
      </w:tr>
      <w:tr w:rsidR="002A17A8" w:rsidRPr="0091228A" w14:paraId="6DC70997" w14:textId="77777777" w:rsidTr="00502EED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2AF493" w14:textId="77777777" w:rsidR="002A17A8" w:rsidRDefault="002A17A8" w:rsidP="002A17A8">
            <w:pPr>
              <w:rPr>
                <w:rFonts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F5623F" w14:textId="67D9AF12" w:rsidR="002A17A8" w:rsidRPr="0052679E" w:rsidRDefault="002A17A8" w:rsidP="002A17A8">
            <w:pPr>
              <w:rPr>
                <w:rFonts w:cstheme="minorHAnsi"/>
              </w:rPr>
            </w:pPr>
            <w:r w:rsidRPr="00025EA6">
              <w:rPr>
                <w:rFonts w:cstheme="minorHAnsi"/>
              </w:rPr>
              <w:t>Mjera 11.4. Ulaganja u društvenu infrastrukturu</w:t>
            </w:r>
          </w:p>
        </w:tc>
      </w:tr>
      <w:tr w:rsidR="002A17A8" w:rsidRPr="0091228A" w14:paraId="39B6EF22" w14:textId="77777777" w:rsidTr="00502EED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6775E9" w14:textId="77777777" w:rsidR="002A17A8" w:rsidRDefault="002A17A8" w:rsidP="002A17A8">
            <w:pPr>
              <w:rPr>
                <w:rFonts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235D15" w14:textId="65C3D768" w:rsidR="002A17A8" w:rsidRPr="0052679E" w:rsidRDefault="002A17A8" w:rsidP="002A17A8">
            <w:pPr>
              <w:rPr>
                <w:rFonts w:cstheme="minorHAnsi"/>
              </w:rPr>
            </w:pPr>
            <w:r w:rsidRPr="00025EA6">
              <w:rPr>
                <w:rFonts w:cstheme="minorHAnsi"/>
              </w:rPr>
              <w:t>Mjera 11.5. Ulaganje u infrastrukturu i dostupnost širokopojasnog interneta</w:t>
            </w:r>
          </w:p>
        </w:tc>
      </w:tr>
      <w:tr w:rsidR="0021573B" w:rsidRPr="0091228A" w14:paraId="150F09C0" w14:textId="77777777" w:rsidTr="002A17A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1C63E" w14:textId="1FC2D434" w:rsidR="0021573B" w:rsidRPr="0021573B" w:rsidRDefault="0021573B" w:rsidP="0052679E">
            <w:pPr>
              <w:rPr>
                <w:rFonts w:cstheme="minorHAnsi"/>
                <w:b/>
              </w:rPr>
            </w:pPr>
            <w:r w:rsidRPr="0021573B">
              <w:rPr>
                <w:rFonts w:cstheme="minorHAnsi"/>
                <w:b/>
              </w:rPr>
              <w:t>Prioritet 4. Jačanje  konkurentnosti županije i razvoj potpomognutih područja NRS-a 2030</w:t>
            </w:r>
          </w:p>
        </w:tc>
      </w:tr>
      <w:tr w:rsidR="002A17A8" w:rsidRPr="0091228A" w14:paraId="3897D7EF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DCD855" w14:textId="04E3AB5A" w:rsidR="002A17A8" w:rsidRPr="0091228A" w:rsidRDefault="002A17A8" w:rsidP="006F7F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Posebni cilj 12. </w:t>
            </w:r>
            <w:r w:rsidRPr="0052679E">
              <w:rPr>
                <w:rFonts w:cstheme="minorHAnsi"/>
              </w:rPr>
              <w:t xml:space="preserve">Jačanje upravljanja razvojem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6422CC" w14:textId="003FD16E" w:rsidR="002A17A8" w:rsidRPr="0091228A" w:rsidRDefault="002A17A8" w:rsidP="00917731">
            <w:pPr>
              <w:rPr>
                <w:rFonts w:cstheme="minorHAnsi"/>
              </w:rPr>
            </w:pPr>
            <w:r w:rsidRPr="0052679E">
              <w:rPr>
                <w:rFonts w:cstheme="minorHAnsi"/>
              </w:rPr>
              <w:t>Mjera 12.1. Jačanje suradnje dionika u upravljanju razvojem</w:t>
            </w:r>
          </w:p>
        </w:tc>
      </w:tr>
      <w:tr w:rsidR="002A17A8" w:rsidRPr="0091228A" w14:paraId="2BEE0183" w14:textId="77777777" w:rsidTr="00502EED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635DC0" w14:textId="77777777" w:rsidR="002A17A8" w:rsidRDefault="002A17A8" w:rsidP="002A17A8">
            <w:pPr>
              <w:rPr>
                <w:rFonts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10648B" w14:textId="0645FF25" w:rsidR="002A17A8" w:rsidRPr="0052679E" w:rsidRDefault="002A17A8" w:rsidP="002A17A8">
            <w:pPr>
              <w:rPr>
                <w:rFonts w:cstheme="minorHAnsi"/>
              </w:rPr>
            </w:pPr>
            <w:r w:rsidRPr="00857CE0">
              <w:rPr>
                <w:rFonts w:cstheme="minorHAnsi"/>
              </w:rPr>
              <w:t>Mjera 12.2. Porast znanja i vještina djelatnika u javnoj upravi na korist građana</w:t>
            </w:r>
          </w:p>
        </w:tc>
      </w:tr>
      <w:tr w:rsidR="002A17A8" w:rsidRPr="0091228A" w14:paraId="7475C511" w14:textId="77777777" w:rsidTr="00502EED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FAFCF5" w14:textId="77777777" w:rsidR="002A17A8" w:rsidRDefault="002A17A8" w:rsidP="002A17A8">
            <w:pPr>
              <w:rPr>
                <w:rFonts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C73CD7" w14:textId="2B520702" w:rsidR="002A17A8" w:rsidRPr="0052679E" w:rsidRDefault="002A17A8" w:rsidP="002A17A8">
            <w:pPr>
              <w:rPr>
                <w:rFonts w:cstheme="minorHAnsi"/>
              </w:rPr>
            </w:pPr>
            <w:r w:rsidRPr="00857CE0">
              <w:rPr>
                <w:rFonts w:cstheme="minorHAnsi"/>
              </w:rPr>
              <w:t>Mjera 12.3. Jačanje organizacija civilnog društva</w:t>
            </w:r>
          </w:p>
        </w:tc>
      </w:tr>
      <w:tr w:rsidR="002A17A8" w:rsidRPr="0091228A" w14:paraId="0842844B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E1CA6B" w14:textId="61B3FAA5" w:rsidR="002A17A8" w:rsidRPr="0091228A" w:rsidRDefault="002A17A8" w:rsidP="002A17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Posebni cilj 13. </w:t>
            </w:r>
            <w:r w:rsidRPr="0052679E">
              <w:rPr>
                <w:rFonts w:cstheme="minorHAnsi"/>
              </w:rPr>
              <w:t>Razvo</w:t>
            </w:r>
            <w:r>
              <w:rPr>
                <w:rFonts w:cstheme="minorHAnsi"/>
              </w:rPr>
              <w:t xml:space="preserve">j potpomognutih područja i ITU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1F490E" w14:textId="25F27660" w:rsidR="002A17A8" w:rsidRPr="0091228A" w:rsidRDefault="002A17A8" w:rsidP="002A17A8">
            <w:pPr>
              <w:rPr>
                <w:rFonts w:cstheme="minorHAnsi"/>
              </w:rPr>
            </w:pPr>
            <w:r w:rsidRPr="0052679E">
              <w:rPr>
                <w:rFonts w:cstheme="minorHAnsi"/>
              </w:rPr>
              <w:t>Mjera 13.1. Poticanje intervencija u potpomognutim područjima</w:t>
            </w:r>
          </w:p>
        </w:tc>
      </w:tr>
      <w:tr w:rsidR="002A17A8" w:rsidRPr="0091228A" w14:paraId="7F1E2E32" w14:textId="77777777" w:rsidTr="00502EED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648A56" w14:textId="77777777" w:rsidR="002A17A8" w:rsidRDefault="002A17A8" w:rsidP="0052679E">
            <w:pPr>
              <w:rPr>
                <w:rFonts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1BF8A2" w14:textId="5406DA53" w:rsidR="002A17A8" w:rsidRPr="0052679E" w:rsidRDefault="002A17A8" w:rsidP="0052679E">
            <w:pPr>
              <w:rPr>
                <w:rFonts w:cstheme="minorHAnsi"/>
              </w:rPr>
            </w:pPr>
            <w:r w:rsidRPr="0052679E">
              <w:rPr>
                <w:rFonts w:cstheme="minorHAnsi"/>
              </w:rPr>
              <w:t>Mjera 13.2. Poticanje integriranih teritorijalnih ulaganja</w:t>
            </w:r>
          </w:p>
        </w:tc>
      </w:tr>
      <w:tr w:rsidR="002A17A8" w:rsidRPr="0091228A" w14:paraId="2BFD1F01" w14:textId="77777777" w:rsidTr="00502EE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048AD7" w14:textId="7011EFB2" w:rsidR="002A17A8" w:rsidRDefault="002A17A8" w:rsidP="002A17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Posebni cilj 14. </w:t>
            </w:r>
            <w:r w:rsidRPr="0052679E">
              <w:rPr>
                <w:rFonts w:cstheme="minorHAnsi"/>
              </w:rPr>
              <w:t xml:space="preserve">Jačanje spremnosti na okolišne i sigurnosne izazove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4EFAEC" w14:textId="167DF037" w:rsidR="002A17A8" w:rsidRPr="0052679E" w:rsidRDefault="002A17A8" w:rsidP="002A17A8">
            <w:pPr>
              <w:rPr>
                <w:rFonts w:cstheme="minorHAnsi"/>
              </w:rPr>
            </w:pPr>
            <w:r w:rsidRPr="00B64CBD">
              <w:rPr>
                <w:rFonts w:cstheme="minorHAnsi"/>
              </w:rPr>
              <w:t>Mjera 14.1. Unapređenje sustava zaštite od elementarnih nepogoda</w:t>
            </w:r>
          </w:p>
        </w:tc>
      </w:tr>
      <w:tr w:rsidR="002A17A8" w:rsidRPr="0091228A" w14:paraId="06C6551A" w14:textId="77777777" w:rsidTr="00502EED"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41EF8D" w14:textId="77777777" w:rsidR="002A17A8" w:rsidRDefault="002A17A8" w:rsidP="002A17A8">
            <w:pPr>
              <w:rPr>
                <w:rFonts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8FEEBC" w14:textId="60E90E97" w:rsidR="002A17A8" w:rsidRPr="00B64CBD" w:rsidRDefault="002A17A8" w:rsidP="002A17A8">
            <w:pPr>
              <w:rPr>
                <w:rFonts w:cstheme="minorHAnsi"/>
              </w:rPr>
            </w:pPr>
            <w:r w:rsidRPr="007606A4">
              <w:rPr>
                <w:rFonts w:cstheme="minorHAnsi"/>
              </w:rPr>
              <w:t>Mjera 14.2. Jačanje otpornosti na klimatske promjene</w:t>
            </w:r>
          </w:p>
        </w:tc>
      </w:tr>
      <w:tr w:rsidR="002A17A8" w:rsidRPr="0091228A" w14:paraId="4D8F2C8E" w14:textId="77777777" w:rsidTr="00502EED"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3FBC55" w14:textId="77777777" w:rsidR="002A17A8" w:rsidRDefault="002A17A8" w:rsidP="002A17A8">
            <w:pPr>
              <w:rPr>
                <w:rFonts w:cs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28C80C" w14:textId="54984167" w:rsidR="002A17A8" w:rsidRPr="00B64CBD" w:rsidRDefault="002A17A8" w:rsidP="002A17A8">
            <w:pPr>
              <w:rPr>
                <w:rFonts w:cstheme="minorHAnsi"/>
              </w:rPr>
            </w:pPr>
            <w:r w:rsidRPr="007606A4">
              <w:rPr>
                <w:rFonts w:cstheme="minorHAnsi"/>
              </w:rPr>
              <w:t>Mjera 14.3. Unaprjeđenje kvalitete zraka, tla i vode</w:t>
            </w:r>
          </w:p>
        </w:tc>
      </w:tr>
    </w:tbl>
    <w:p w14:paraId="565DA810" w14:textId="77777777" w:rsidR="006F7FE4" w:rsidRPr="0091228A" w:rsidRDefault="006F7FE4" w:rsidP="007E691B">
      <w:pPr>
        <w:jc w:val="both"/>
        <w:rPr>
          <w:rFonts w:cstheme="minorHAnsi"/>
        </w:rPr>
      </w:pPr>
    </w:p>
    <w:p w14:paraId="024218AF" w14:textId="3234609A" w:rsidR="00233976" w:rsidRPr="0091228A" w:rsidRDefault="00062C4A" w:rsidP="007E691B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Za </w:t>
      </w:r>
      <w:r w:rsidR="00233976" w:rsidRPr="0091228A">
        <w:rPr>
          <w:rFonts w:cstheme="minorHAnsi"/>
        </w:rPr>
        <w:t xml:space="preserve">svaki posebni cilj popisane su mjere kojima se on ostvaruje. Detaljni opisi mjera s indikativnim popisom aktivnosti, trajanjem, nositeljima provedbe, planiranim financijskim okvirom i pokazateljima rezultata prikazani su u Prilogu 2:  Opis mjera. </w:t>
      </w:r>
    </w:p>
    <w:p w14:paraId="3CB9AD11" w14:textId="4E660061" w:rsidR="00D80492" w:rsidRDefault="00D80492" w:rsidP="00D80492">
      <w:pPr>
        <w:jc w:val="both"/>
        <w:rPr>
          <w:rFonts w:cstheme="minorHAnsi"/>
        </w:rPr>
      </w:pPr>
    </w:p>
    <w:p w14:paraId="0F931663" w14:textId="77777777" w:rsidR="00810B33" w:rsidRPr="0091228A" w:rsidRDefault="00810B33" w:rsidP="00810B33">
      <w:pPr>
        <w:jc w:val="both"/>
        <w:rPr>
          <w:rFonts w:cstheme="minorHAnsi"/>
          <w:b/>
        </w:rPr>
      </w:pPr>
      <w:r w:rsidRPr="0091228A">
        <w:rPr>
          <w:rFonts w:cstheme="minorHAnsi"/>
          <w:b/>
        </w:rPr>
        <w:t>Posebni cilj 1. Razvoj kreativnog i inovativnog poduzetništva</w:t>
      </w:r>
    </w:p>
    <w:p w14:paraId="49174A3A" w14:textId="47D71344" w:rsidR="00810B33" w:rsidRPr="0091228A" w:rsidRDefault="00D572A7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Ovaj posebni cilj </w:t>
      </w:r>
      <w:r w:rsidR="00810B33" w:rsidRPr="0091228A">
        <w:rPr>
          <w:rFonts w:cstheme="minorHAnsi"/>
        </w:rPr>
        <w:t>doprinosi porastu poduzetničke aktivnosti na području Brodsko-posavske županije te potiče poboljšanj</w:t>
      </w:r>
      <w:r w:rsidR="00062C4A" w:rsidRPr="0091228A">
        <w:rPr>
          <w:rFonts w:cstheme="minorHAnsi"/>
        </w:rPr>
        <w:t>e</w:t>
      </w:r>
      <w:r w:rsidR="00810B33" w:rsidRPr="0091228A">
        <w:rPr>
          <w:rFonts w:cstheme="minorHAnsi"/>
        </w:rPr>
        <w:t xml:space="preserve"> ukupnih rezultata poslovanja poduzetnika putem poticanja ulaganja u istraživanje i razvoj, poboljšanj</w:t>
      </w:r>
      <w:r w:rsidR="00062C4A" w:rsidRPr="0091228A">
        <w:rPr>
          <w:rFonts w:cstheme="minorHAnsi"/>
        </w:rPr>
        <w:t>e</w:t>
      </w:r>
      <w:r w:rsidR="00810B33" w:rsidRPr="0091228A">
        <w:rPr>
          <w:rFonts w:cstheme="minorHAnsi"/>
        </w:rPr>
        <w:t xml:space="preserve"> poduzetničke infrastrukture te jačanj</w:t>
      </w:r>
      <w:r w:rsidR="00062C4A" w:rsidRPr="0091228A">
        <w:rPr>
          <w:rFonts w:cstheme="minorHAnsi"/>
        </w:rPr>
        <w:t>e</w:t>
      </w:r>
      <w:r w:rsidR="00810B33" w:rsidRPr="0091228A">
        <w:rPr>
          <w:rFonts w:cstheme="minorHAnsi"/>
        </w:rPr>
        <w:t xml:space="preserve"> institucionalne podrške poduzetnicima.</w:t>
      </w:r>
      <w:r w:rsidR="00A33750" w:rsidRPr="0091228A">
        <w:rPr>
          <w:rFonts w:cstheme="minorHAnsi"/>
        </w:rPr>
        <w:t xml:space="preserve"> </w:t>
      </w:r>
      <w:r w:rsidR="00810B33" w:rsidRPr="0091228A">
        <w:rPr>
          <w:rFonts w:cstheme="minorHAnsi"/>
        </w:rPr>
        <w:t xml:space="preserve"> </w:t>
      </w:r>
      <w:r w:rsidR="00A33750" w:rsidRPr="0091228A">
        <w:rPr>
          <w:rFonts w:cstheme="minorHAnsi"/>
        </w:rPr>
        <w:t xml:space="preserve"> </w:t>
      </w:r>
      <w:r w:rsidR="00810B33" w:rsidRPr="0091228A">
        <w:rPr>
          <w:rFonts w:cstheme="minorHAnsi"/>
        </w:rPr>
        <w:t xml:space="preserve">Planirani cilj će se ostvariti pripremom projekata koji će se kandidirati na natječaje središnjih državnih tijela te provedbom programa koji se primarno financiraju putem fondova Europske unije,  </w:t>
      </w:r>
      <w:r w:rsidR="00062C4A" w:rsidRPr="0091228A">
        <w:rPr>
          <w:rFonts w:cstheme="minorHAnsi"/>
        </w:rPr>
        <w:t xml:space="preserve">iz </w:t>
      </w:r>
      <w:r w:rsidR="00810B33" w:rsidRPr="0091228A">
        <w:rPr>
          <w:rFonts w:cstheme="minorHAnsi"/>
        </w:rPr>
        <w:t>proračuna BPŽ-a i jedinica lokalne samouprave s područja BPŽ</w:t>
      </w:r>
      <w:r w:rsidR="00CF02E9">
        <w:rPr>
          <w:rFonts w:cstheme="minorHAnsi"/>
        </w:rPr>
        <w:t>-a</w:t>
      </w:r>
      <w:r w:rsidR="00810B33" w:rsidRPr="0091228A">
        <w:rPr>
          <w:rFonts w:cstheme="minorHAnsi"/>
        </w:rPr>
        <w:t>.</w:t>
      </w:r>
      <w:r w:rsidR="00062C4A" w:rsidRPr="0091228A">
        <w:rPr>
          <w:rFonts w:cstheme="minorHAnsi"/>
        </w:rPr>
        <w:t xml:space="preserve"> </w:t>
      </w:r>
      <w:r w:rsidR="00810B33" w:rsidRPr="0091228A">
        <w:rPr>
          <w:rFonts w:cstheme="minorHAnsi"/>
        </w:rPr>
        <w:t>Ukupni financijski okvir za provedb</w:t>
      </w:r>
      <w:r w:rsidR="00CF02E9">
        <w:rPr>
          <w:rFonts w:cstheme="minorHAnsi"/>
        </w:rPr>
        <w:t>u</w:t>
      </w:r>
      <w:r w:rsidR="00810B33" w:rsidRPr="0091228A">
        <w:rPr>
          <w:rFonts w:cstheme="minorHAnsi"/>
        </w:rPr>
        <w:t xml:space="preserve"> </w:t>
      </w:r>
      <w:r w:rsidRPr="0091228A">
        <w:rPr>
          <w:rFonts w:cstheme="minorHAnsi"/>
        </w:rPr>
        <w:t>o</w:t>
      </w:r>
      <w:r w:rsidR="00810B33" w:rsidRPr="0091228A">
        <w:rPr>
          <w:rFonts w:cstheme="minorHAnsi"/>
        </w:rPr>
        <w:t xml:space="preserve">vog posebnog cilja je </w:t>
      </w:r>
      <w:r w:rsidR="00D826DD" w:rsidRPr="009820F7">
        <w:rPr>
          <w:rFonts w:eastAsia="Times New Roman" w:cstheme="minorHAnsi"/>
          <w:lang w:eastAsia="hr-HR"/>
        </w:rPr>
        <w:t>24.722.000,00 kn</w:t>
      </w:r>
      <w:r w:rsidR="00D826DD">
        <w:rPr>
          <w:rFonts w:eastAsia="Times New Roman" w:cstheme="minorHAnsi"/>
          <w:lang w:eastAsia="hr-HR"/>
        </w:rPr>
        <w:t>.</w:t>
      </w:r>
      <w:r w:rsidR="00D826DD" w:rsidRPr="0091228A">
        <w:rPr>
          <w:rFonts w:cstheme="minorHAnsi"/>
          <w:highlight w:val="yellow"/>
        </w:rPr>
        <w:t xml:space="preserve"> </w:t>
      </w:r>
    </w:p>
    <w:p w14:paraId="40A5C330" w14:textId="77777777" w:rsidR="00CA6021" w:rsidRPr="0091228A" w:rsidRDefault="00CA6021" w:rsidP="00810B33">
      <w:pPr>
        <w:jc w:val="both"/>
        <w:rPr>
          <w:rFonts w:cstheme="minorHAnsi"/>
        </w:rPr>
      </w:pPr>
    </w:p>
    <w:p w14:paraId="705E4D52" w14:textId="77777777" w:rsidR="00810B33" w:rsidRPr="0091228A" w:rsidRDefault="00810B33" w:rsidP="00810B33">
      <w:pPr>
        <w:rPr>
          <w:rFonts w:cstheme="minorHAnsi"/>
          <w:i/>
          <w:iCs/>
          <w:u w:val="single"/>
        </w:rPr>
      </w:pPr>
      <w:r w:rsidRPr="0091228A">
        <w:rPr>
          <w:rFonts w:cstheme="minorHAnsi"/>
          <w:i/>
          <w:iCs/>
          <w:u w:val="single"/>
        </w:rPr>
        <w:t>Pokazatelji ishoda za posebni cilj:</w:t>
      </w:r>
    </w:p>
    <w:p w14:paraId="6CC93D85" w14:textId="77777777" w:rsidR="00810B33" w:rsidRPr="0091228A" w:rsidRDefault="00810B33" w:rsidP="00810B33">
      <w:pPr>
        <w:rPr>
          <w:rFonts w:cstheme="minorHAnsi"/>
        </w:rPr>
      </w:pPr>
      <w:r w:rsidRPr="0091228A">
        <w:rPr>
          <w:rFonts w:cstheme="minorHAnsi"/>
        </w:rPr>
        <w:t xml:space="preserve">OI.02.4.04 Srednja i mala poduzeća, % ukupnog broja poduzeća </w:t>
      </w:r>
    </w:p>
    <w:p w14:paraId="669643F9" w14:textId="1EC35501" w:rsidR="00D572A7" w:rsidRDefault="00810B33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>OI.02.4.20 Udio poduzeća s inovacijskim proizvodima</w:t>
      </w:r>
    </w:p>
    <w:p w14:paraId="46A0CCAC" w14:textId="454B5B4C" w:rsidR="0021573B" w:rsidRPr="0091228A" w:rsidRDefault="0021573B" w:rsidP="00810B33">
      <w:pPr>
        <w:jc w:val="both"/>
        <w:rPr>
          <w:rFonts w:cstheme="minorHAnsi"/>
        </w:rPr>
      </w:pPr>
      <w:r w:rsidRPr="0021573B">
        <w:rPr>
          <w:rFonts w:cstheme="minorHAnsi"/>
        </w:rPr>
        <w:t>OI.02.9.40 Prodaja inovacija koje su nove na tržištu i nove u poduzećima</w:t>
      </w:r>
    </w:p>
    <w:p w14:paraId="3AA4E2A8" w14:textId="77777777" w:rsidR="006C5F4D" w:rsidRPr="0091228A" w:rsidRDefault="006C5F4D" w:rsidP="00D572A7">
      <w:pPr>
        <w:jc w:val="both"/>
        <w:rPr>
          <w:rFonts w:cstheme="minorHAnsi"/>
        </w:rPr>
      </w:pPr>
    </w:p>
    <w:p w14:paraId="4341AAB1" w14:textId="7E5A983F" w:rsidR="00D572A7" w:rsidRPr="0091228A" w:rsidRDefault="00D572A7" w:rsidP="00D572A7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</w:rPr>
        <w:t xml:space="preserve">Mjere pomoću kojih će se realizirati posebni cilj su sljedeće: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63DA2" w:rsidRPr="0091228A" w14:paraId="36C5C4D1" w14:textId="77777777" w:rsidTr="00A55D84">
        <w:trPr>
          <w:trHeight w:val="1012"/>
        </w:trPr>
        <w:tc>
          <w:tcPr>
            <w:tcW w:w="2263" w:type="dxa"/>
            <w:vAlign w:val="center"/>
          </w:tcPr>
          <w:p w14:paraId="2A5CB24C" w14:textId="77777777" w:rsidR="005000C9" w:rsidRPr="0091228A" w:rsidRDefault="005000C9" w:rsidP="005000C9">
            <w:pPr>
              <w:rPr>
                <w:rFonts w:cstheme="minorHAnsi"/>
                <w:b/>
              </w:rPr>
            </w:pPr>
            <w:bookmarkStart w:id="15" w:name="_Hlk81913607"/>
            <w:r w:rsidRPr="0091228A">
              <w:rPr>
                <w:rFonts w:cstheme="minorHAnsi"/>
                <w:b/>
              </w:rPr>
              <w:t xml:space="preserve">Posebni cilj </w:t>
            </w:r>
            <w:r w:rsidR="00863DA2" w:rsidRPr="0091228A">
              <w:rPr>
                <w:rFonts w:cstheme="minorHAnsi"/>
                <w:b/>
              </w:rPr>
              <w:t>1.</w:t>
            </w:r>
          </w:p>
          <w:p w14:paraId="4130D6D1" w14:textId="77777777" w:rsidR="00863DA2" w:rsidRPr="0091228A" w:rsidRDefault="00863DA2" w:rsidP="005000C9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</w:rPr>
              <w:lastRenderedPageBreak/>
              <w:t>Razvoj kreativnog i inovativnog poduzetništva</w:t>
            </w:r>
          </w:p>
        </w:tc>
        <w:tc>
          <w:tcPr>
            <w:tcW w:w="6799" w:type="dxa"/>
          </w:tcPr>
          <w:p w14:paraId="09ADD52A" w14:textId="748F9C0C" w:rsidR="00863DA2" w:rsidRPr="0091228A" w:rsidRDefault="00863DA2" w:rsidP="007510FD">
            <w:pPr>
              <w:jc w:val="both"/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lastRenderedPageBreak/>
              <w:t>M</w:t>
            </w:r>
            <w:r w:rsidR="005000C9" w:rsidRPr="0091228A">
              <w:rPr>
                <w:rFonts w:cstheme="minorHAnsi"/>
                <w:bCs/>
              </w:rPr>
              <w:t xml:space="preserve">jera </w:t>
            </w:r>
            <w:r w:rsidRPr="0091228A">
              <w:rPr>
                <w:rFonts w:cstheme="minorHAnsi"/>
                <w:bCs/>
              </w:rPr>
              <w:t xml:space="preserve">1.1. Unapređenje poduzetničke klime i infrastrukture </w:t>
            </w:r>
          </w:p>
          <w:p w14:paraId="6CD75970" w14:textId="77777777" w:rsidR="00863DA2" w:rsidRPr="0091228A" w:rsidRDefault="00863DA2" w:rsidP="007510FD">
            <w:pPr>
              <w:jc w:val="both"/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1.2. Poticanje ulaganja u istraživanje i razvoj </w:t>
            </w:r>
          </w:p>
          <w:p w14:paraId="1C8F0BD6" w14:textId="77777777" w:rsidR="00863DA2" w:rsidRPr="0091228A" w:rsidRDefault="00863DA2" w:rsidP="005000C9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1.3. Jačanje institucionalne podrške poduzetnicima </w:t>
            </w:r>
          </w:p>
        </w:tc>
      </w:tr>
      <w:bookmarkEnd w:id="15"/>
    </w:tbl>
    <w:p w14:paraId="4BCC2765" w14:textId="72101924" w:rsidR="00AE7A34" w:rsidRPr="0091228A" w:rsidRDefault="00AE7A34" w:rsidP="00810B33">
      <w:pPr>
        <w:jc w:val="both"/>
        <w:rPr>
          <w:rFonts w:cstheme="minorHAnsi"/>
          <w:b/>
        </w:rPr>
      </w:pPr>
    </w:p>
    <w:p w14:paraId="6EA176E8" w14:textId="77777777" w:rsidR="00AE7A34" w:rsidRPr="0091228A" w:rsidRDefault="00AE7A34" w:rsidP="00810B33">
      <w:pPr>
        <w:jc w:val="both"/>
        <w:rPr>
          <w:rFonts w:cstheme="minorHAnsi"/>
          <w:b/>
        </w:rPr>
      </w:pPr>
    </w:p>
    <w:p w14:paraId="01C2C35F" w14:textId="7713C07B" w:rsidR="00810B33" w:rsidRPr="0091228A" w:rsidRDefault="00810B33" w:rsidP="00810B33">
      <w:pPr>
        <w:jc w:val="both"/>
        <w:rPr>
          <w:rFonts w:cstheme="minorHAnsi"/>
          <w:b/>
        </w:rPr>
      </w:pPr>
      <w:r w:rsidRPr="0091228A">
        <w:rPr>
          <w:rFonts w:cstheme="minorHAnsi"/>
          <w:b/>
        </w:rPr>
        <w:t>Posebni cilj 2. Osiguranje perspektivnog tržišta rada i zapošljavanje</w:t>
      </w:r>
    </w:p>
    <w:p w14:paraId="1E4EB2F4" w14:textId="11C631E8" w:rsidR="00810B33" w:rsidRPr="0091228A" w:rsidRDefault="00D572A7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Ovaj posebni cilj </w:t>
      </w:r>
      <w:r w:rsidR="00810B33" w:rsidRPr="0091228A">
        <w:rPr>
          <w:rFonts w:cstheme="minorHAnsi"/>
        </w:rPr>
        <w:t>svojim ostvarenjem doprinosi  razvoju novih programa obrazovanja radi povezivanja obrazovnog sustava s tržištem rada u Brodsko-posavskoj županiji, Republici Hrvatskoj i na području Europske unije. Ostvarenje posebnog cilja dovest</w:t>
      </w:r>
      <w:r w:rsidR="00316B5F">
        <w:rPr>
          <w:rFonts w:cstheme="minorHAnsi"/>
        </w:rPr>
        <w:t xml:space="preserve"> će</w:t>
      </w:r>
      <w:r w:rsidR="00810B33" w:rsidRPr="0091228A">
        <w:rPr>
          <w:rFonts w:cstheme="minorHAnsi"/>
        </w:rPr>
        <w:t xml:space="preserve"> do povećanja zaposlenosti, društvene uključenosti i samozapošljavanja.</w:t>
      </w:r>
    </w:p>
    <w:p w14:paraId="03CC1254" w14:textId="3F49EB92" w:rsidR="00810B33" w:rsidRPr="0091228A" w:rsidRDefault="00810B33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Brodsko-posavska županija bilježi znatno lošiju situaciju na tržištu rada u odnosu na prosjek Republike Hrvatske te se prema stopi zaposlenosti nalazi na 17. mjestu među županijama. Iako je u Županiji u posljednjih pet godina zabilježeno smanjenje stope nezaposlenosti, ono je tek djelomično povezano s povećanjem gospodarske aktivnosti i otvaranjem radnih mjesta, </w:t>
      </w:r>
      <w:r w:rsidR="00062C4A" w:rsidRPr="0091228A">
        <w:rPr>
          <w:rFonts w:cstheme="minorHAnsi"/>
        </w:rPr>
        <w:t xml:space="preserve">a u većoj je mjeri </w:t>
      </w:r>
      <w:r w:rsidRPr="0091228A">
        <w:rPr>
          <w:rFonts w:cstheme="minorHAnsi"/>
        </w:rPr>
        <w:t xml:space="preserve"> posljedica migracija, odnosno iseljavanja radno aktivnog stanovništva. Ukupni financijski okvir za provedbu ovog posebnog cilja </w:t>
      </w:r>
      <w:r w:rsidR="00C5234C">
        <w:rPr>
          <w:rFonts w:cstheme="minorHAnsi"/>
        </w:rPr>
        <w:t xml:space="preserve">trenutno nije predviđen. </w:t>
      </w:r>
    </w:p>
    <w:p w14:paraId="0BF345E6" w14:textId="77777777" w:rsidR="00CA6021" w:rsidRPr="0091228A" w:rsidRDefault="00CA6021" w:rsidP="00810B33">
      <w:pPr>
        <w:jc w:val="both"/>
        <w:rPr>
          <w:rFonts w:cstheme="minorHAnsi"/>
        </w:rPr>
      </w:pPr>
    </w:p>
    <w:p w14:paraId="4460E41B" w14:textId="77777777" w:rsidR="00810B33" w:rsidRPr="0091228A" w:rsidRDefault="00810B33" w:rsidP="00810B33">
      <w:pPr>
        <w:jc w:val="both"/>
        <w:rPr>
          <w:rFonts w:cstheme="minorHAnsi"/>
          <w:iCs/>
          <w:u w:val="single"/>
        </w:rPr>
      </w:pPr>
      <w:r w:rsidRPr="0091228A">
        <w:rPr>
          <w:rFonts w:cstheme="minorHAnsi"/>
          <w:iCs/>
          <w:u w:val="single"/>
        </w:rPr>
        <w:t>Pokazatelji ishoda za posebni cilj:</w:t>
      </w:r>
    </w:p>
    <w:p w14:paraId="72BE4DFD" w14:textId="1D092ADE" w:rsidR="00CA6021" w:rsidRPr="0091228A" w:rsidRDefault="0021573B" w:rsidP="00AC7E3F">
      <w:pPr>
        <w:jc w:val="both"/>
        <w:rPr>
          <w:rFonts w:cstheme="minorHAnsi"/>
        </w:rPr>
      </w:pPr>
      <w:r w:rsidRPr="0021573B">
        <w:rPr>
          <w:rFonts w:cstheme="minorHAnsi"/>
        </w:rPr>
        <w:t>IO.02.13.05.Zaposlenost prema dobi, ekonomskoj aktivnosti I NUTS 2 regionalnoj razini</w:t>
      </w:r>
    </w:p>
    <w:p w14:paraId="0D747B44" w14:textId="77777777" w:rsidR="0021573B" w:rsidRDefault="0021573B" w:rsidP="00AC7E3F">
      <w:pPr>
        <w:jc w:val="both"/>
        <w:rPr>
          <w:rFonts w:cstheme="minorHAnsi"/>
        </w:rPr>
      </w:pPr>
    </w:p>
    <w:p w14:paraId="59981131" w14:textId="2FF2B773" w:rsidR="00AC7E3F" w:rsidRPr="0091228A" w:rsidRDefault="00AC7E3F" w:rsidP="00AC7E3F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</w:rPr>
        <w:t xml:space="preserve">Mjere pomoću kojih će se posebni cilj </w:t>
      </w:r>
      <w:r w:rsidR="00316B5F" w:rsidRPr="0091228A">
        <w:rPr>
          <w:rFonts w:cstheme="minorHAnsi"/>
        </w:rPr>
        <w:t xml:space="preserve">realizirati </w:t>
      </w:r>
      <w:r w:rsidRPr="0091228A">
        <w:rPr>
          <w:rFonts w:cstheme="minorHAnsi"/>
        </w:rPr>
        <w:t xml:space="preserve">su sljedeće: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63DA2" w:rsidRPr="0091228A" w14:paraId="1F9255C2" w14:textId="77777777" w:rsidTr="00A55D84">
        <w:trPr>
          <w:trHeight w:val="1012"/>
        </w:trPr>
        <w:tc>
          <w:tcPr>
            <w:tcW w:w="2263" w:type="dxa"/>
            <w:vAlign w:val="center"/>
          </w:tcPr>
          <w:p w14:paraId="08A57B9E" w14:textId="77777777" w:rsidR="00863DA2" w:rsidRPr="0091228A" w:rsidRDefault="005000C9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</w:rPr>
              <w:t xml:space="preserve">Posebni cilj </w:t>
            </w:r>
            <w:r w:rsidR="00863DA2" w:rsidRPr="0091228A">
              <w:rPr>
                <w:rFonts w:cstheme="minorHAnsi"/>
                <w:b/>
              </w:rPr>
              <w:t xml:space="preserve">2. </w:t>
            </w:r>
            <w:r w:rsidR="00863DA2" w:rsidRPr="0091228A">
              <w:rPr>
                <w:rFonts w:cstheme="minorHAnsi"/>
                <w:b/>
                <w:bCs/>
              </w:rPr>
              <w:t>Osiguranje perspektivnog tržišta rada i zapošljavanje</w:t>
            </w:r>
          </w:p>
        </w:tc>
        <w:tc>
          <w:tcPr>
            <w:tcW w:w="6799" w:type="dxa"/>
          </w:tcPr>
          <w:p w14:paraId="4F841977" w14:textId="77777777" w:rsidR="00863DA2" w:rsidRPr="0091228A" w:rsidRDefault="005000C9" w:rsidP="007510FD">
            <w:pPr>
              <w:jc w:val="both"/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863DA2" w:rsidRPr="0091228A">
              <w:rPr>
                <w:rFonts w:cstheme="minorHAnsi"/>
                <w:bCs/>
              </w:rPr>
              <w:t xml:space="preserve">2.1. Povećanje zaposlenosti i poticanje društvene uključenosti </w:t>
            </w:r>
          </w:p>
          <w:p w14:paraId="19D1C57F" w14:textId="77777777" w:rsidR="00863DA2" w:rsidRPr="0091228A" w:rsidRDefault="005000C9" w:rsidP="007510FD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863DA2" w:rsidRPr="0091228A">
              <w:rPr>
                <w:rFonts w:cstheme="minorHAnsi"/>
                <w:bCs/>
              </w:rPr>
              <w:t xml:space="preserve">2.2. Poticanje samozapošljavanja i zapošljavanja </w:t>
            </w:r>
          </w:p>
        </w:tc>
      </w:tr>
    </w:tbl>
    <w:p w14:paraId="1A2B45D0" w14:textId="77777777" w:rsidR="00AE7A34" w:rsidRPr="0091228A" w:rsidRDefault="00AE7A34" w:rsidP="00810B33">
      <w:pPr>
        <w:rPr>
          <w:rFonts w:cstheme="minorHAnsi"/>
          <w:b/>
          <w:bCs/>
        </w:rPr>
      </w:pPr>
    </w:p>
    <w:p w14:paraId="7AB9CAFC" w14:textId="77777777" w:rsidR="00AE7A34" w:rsidRPr="0091228A" w:rsidRDefault="00AE7A34" w:rsidP="00810B33">
      <w:pPr>
        <w:rPr>
          <w:rFonts w:cstheme="minorHAnsi"/>
          <w:b/>
          <w:bCs/>
        </w:rPr>
      </w:pPr>
    </w:p>
    <w:p w14:paraId="53A89B67" w14:textId="09220F83" w:rsidR="00810B33" w:rsidRPr="0091228A" w:rsidRDefault="005000C9" w:rsidP="00810B33">
      <w:pPr>
        <w:rPr>
          <w:rFonts w:cstheme="minorHAnsi"/>
          <w:b/>
          <w:bCs/>
        </w:rPr>
      </w:pPr>
      <w:r w:rsidRPr="0091228A">
        <w:rPr>
          <w:rFonts w:cstheme="minorHAnsi"/>
          <w:b/>
          <w:bCs/>
        </w:rPr>
        <w:t xml:space="preserve">Posebni cilj </w:t>
      </w:r>
      <w:r w:rsidR="00810B33" w:rsidRPr="0091228A">
        <w:rPr>
          <w:rFonts w:cstheme="minorHAnsi"/>
          <w:b/>
          <w:bCs/>
        </w:rPr>
        <w:t>3. Razvoj znanosti i obrazovanja</w:t>
      </w:r>
    </w:p>
    <w:p w14:paraId="788210EF" w14:textId="1B1F9AC4" w:rsidR="00810B33" w:rsidRPr="0091228A" w:rsidRDefault="00D572A7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Ovaj posebni cilj </w:t>
      </w:r>
      <w:r w:rsidR="00473D2E">
        <w:rPr>
          <w:rFonts w:cstheme="minorHAnsi"/>
        </w:rPr>
        <w:t xml:space="preserve"> odnosi se </w:t>
      </w:r>
      <w:r w:rsidR="00062C4A" w:rsidRPr="0091228A">
        <w:rPr>
          <w:rFonts w:cstheme="minorHAnsi"/>
        </w:rPr>
        <w:t xml:space="preserve">na </w:t>
      </w:r>
      <w:r w:rsidR="00810B33" w:rsidRPr="0091228A">
        <w:rPr>
          <w:rFonts w:cstheme="minorHAnsi"/>
        </w:rPr>
        <w:t xml:space="preserve"> ulaganja u unapređenje sustava znanosti i obrazovanja, posebno u pogledu povezanosti s potrebama gospodarstva, osigura</w:t>
      </w:r>
      <w:r w:rsidRPr="0091228A">
        <w:rPr>
          <w:rFonts w:cstheme="minorHAnsi"/>
        </w:rPr>
        <w:t>va</w:t>
      </w:r>
      <w:r w:rsidR="00810B33" w:rsidRPr="0091228A">
        <w:rPr>
          <w:rFonts w:cstheme="minorHAnsi"/>
        </w:rPr>
        <w:t xml:space="preserve">nja jednake dostupnosti obrazovnih programa te sprječavanja ranog napuštanja školovanja. </w:t>
      </w:r>
    </w:p>
    <w:p w14:paraId="4F8D51FA" w14:textId="371E6DC3" w:rsidR="00810B33" w:rsidRPr="0091228A" w:rsidRDefault="00810B33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Brodsko-posavsku županiju u području znanosti i obrazovanja karakteriziraju </w:t>
      </w:r>
      <w:r w:rsidR="00AC7E3F" w:rsidRPr="0091228A">
        <w:rPr>
          <w:rFonts w:cstheme="minorHAnsi"/>
        </w:rPr>
        <w:t xml:space="preserve">dobro </w:t>
      </w:r>
      <w:r w:rsidRPr="0091228A">
        <w:rPr>
          <w:rFonts w:cstheme="minorHAnsi"/>
        </w:rPr>
        <w:t xml:space="preserve"> razvijena obrazovno-odgojna infrastrukturna osnova, uspostavljeni centri kompetencija u strukovnom obrazovanju te spremnost i odlučnost Županije za ulaganja u nova znanstveno-obrazovna područja u skladu s ključnim razvojnim trendovima (zeleno, digitalno, bioekonomija, socijalne inovacije i drugo). </w:t>
      </w:r>
    </w:p>
    <w:p w14:paraId="308FD13A" w14:textId="047ECBDC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 xml:space="preserve">Ukupni financijski okvir za provedbi </w:t>
      </w:r>
      <w:r w:rsidR="00062C4A" w:rsidRPr="0091228A">
        <w:rPr>
          <w:rFonts w:eastAsia="Times New Roman" w:cstheme="minorHAnsi"/>
          <w:lang w:eastAsia="hr-HR"/>
        </w:rPr>
        <w:t>o</w:t>
      </w:r>
      <w:r w:rsidRPr="0091228A">
        <w:rPr>
          <w:rFonts w:eastAsia="Times New Roman" w:cstheme="minorHAnsi"/>
          <w:lang w:eastAsia="hr-HR"/>
        </w:rPr>
        <w:t xml:space="preserve">vog posebnog cilja je </w:t>
      </w:r>
      <w:r w:rsidR="005E5001" w:rsidRPr="009820F7">
        <w:rPr>
          <w:rFonts w:eastAsia="Times New Roman" w:cstheme="minorHAnsi"/>
          <w:lang w:eastAsia="hr-HR"/>
        </w:rPr>
        <w:t>2.710.718.076,77 kn</w:t>
      </w:r>
      <w:r w:rsidR="005E5001">
        <w:rPr>
          <w:rFonts w:eastAsia="Times New Roman" w:cstheme="minorHAnsi"/>
          <w:lang w:eastAsia="hr-HR"/>
        </w:rPr>
        <w:t>.</w:t>
      </w:r>
    </w:p>
    <w:p w14:paraId="13A3EBE4" w14:textId="77777777" w:rsidR="00CA6021" w:rsidRPr="0091228A" w:rsidRDefault="00CA6021" w:rsidP="00810B33">
      <w:pPr>
        <w:jc w:val="both"/>
        <w:rPr>
          <w:rFonts w:eastAsia="Times New Roman" w:cstheme="minorHAnsi"/>
          <w:lang w:eastAsia="hr-HR"/>
        </w:rPr>
      </w:pPr>
    </w:p>
    <w:p w14:paraId="61EAB4FD" w14:textId="77777777" w:rsidR="00810B33" w:rsidRPr="0091228A" w:rsidRDefault="00810B33" w:rsidP="00810B33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  <w:i/>
          <w:iCs/>
          <w:u w:val="single"/>
        </w:rPr>
        <w:t>Pokazatelji ishoda za posebni cilj:</w:t>
      </w:r>
    </w:p>
    <w:p w14:paraId="07E38FB4" w14:textId="08297C07" w:rsidR="007524CA" w:rsidRPr="0091228A" w:rsidRDefault="007524CA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>01.02.2.34 Izdaci za obrazovanje u BDP</w:t>
      </w:r>
      <w:r w:rsidR="00A374DA">
        <w:rPr>
          <w:rFonts w:cstheme="minorHAnsi"/>
        </w:rPr>
        <w:t>-u</w:t>
      </w:r>
    </w:p>
    <w:p w14:paraId="7A083ECC" w14:textId="09037276" w:rsidR="00810B33" w:rsidRPr="0091228A" w:rsidRDefault="00810B33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>OI.02.4.12 Izdaci za istraživanje i razvoj u BDP</w:t>
      </w:r>
      <w:r w:rsidR="00A374DA">
        <w:rPr>
          <w:rFonts w:cstheme="minorHAnsi"/>
        </w:rPr>
        <w:t>-u</w:t>
      </w:r>
    </w:p>
    <w:p w14:paraId="35260C6E" w14:textId="77777777" w:rsidR="00CA6021" w:rsidRPr="0091228A" w:rsidRDefault="00CA6021" w:rsidP="00AC7E3F">
      <w:pPr>
        <w:jc w:val="both"/>
        <w:rPr>
          <w:rFonts w:cstheme="minorHAnsi"/>
        </w:rPr>
      </w:pPr>
    </w:p>
    <w:p w14:paraId="17ADFAA7" w14:textId="48DE51EA" w:rsidR="00AC7E3F" w:rsidRPr="0091228A" w:rsidRDefault="00AC7E3F" w:rsidP="00AC7E3F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</w:rPr>
        <w:lastRenderedPageBreak/>
        <w:t xml:space="preserve">Mjere pomoću kojih će se realizirati posebni cilj su sljedeće: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63DA2" w:rsidRPr="0091228A" w14:paraId="04EB296D" w14:textId="77777777" w:rsidTr="00A55D84">
        <w:trPr>
          <w:trHeight w:val="1032"/>
        </w:trPr>
        <w:tc>
          <w:tcPr>
            <w:tcW w:w="2263" w:type="dxa"/>
            <w:vAlign w:val="center"/>
          </w:tcPr>
          <w:p w14:paraId="19BAC81B" w14:textId="77777777" w:rsidR="00863DA2" w:rsidRPr="0091228A" w:rsidRDefault="005000C9" w:rsidP="007510FD">
            <w:pPr>
              <w:rPr>
                <w:rFonts w:cstheme="minorHAnsi"/>
                <w:b/>
                <w:bCs/>
              </w:rPr>
            </w:pPr>
            <w:r w:rsidRPr="0091228A">
              <w:rPr>
                <w:rFonts w:cstheme="minorHAnsi"/>
                <w:b/>
              </w:rPr>
              <w:t xml:space="preserve">Posebni cilj </w:t>
            </w:r>
            <w:r w:rsidR="00863DA2" w:rsidRPr="0091228A">
              <w:rPr>
                <w:rFonts w:cstheme="minorHAnsi"/>
                <w:b/>
              </w:rPr>
              <w:t xml:space="preserve">3. </w:t>
            </w:r>
            <w:r w:rsidR="00863DA2" w:rsidRPr="0091228A">
              <w:rPr>
                <w:rFonts w:cstheme="minorHAnsi"/>
                <w:b/>
                <w:bCs/>
              </w:rPr>
              <w:t>Razvoj znanosti i obrazovanja</w:t>
            </w:r>
          </w:p>
          <w:p w14:paraId="2D9B70A7" w14:textId="77777777" w:rsidR="00863DA2" w:rsidRPr="0091228A" w:rsidRDefault="00863DA2" w:rsidP="007510FD">
            <w:pPr>
              <w:rPr>
                <w:rFonts w:cstheme="minorHAnsi"/>
              </w:rPr>
            </w:pPr>
          </w:p>
        </w:tc>
        <w:tc>
          <w:tcPr>
            <w:tcW w:w="6799" w:type="dxa"/>
          </w:tcPr>
          <w:p w14:paraId="3F3D7D07" w14:textId="77777777" w:rsidR="00863DA2" w:rsidRPr="0091228A" w:rsidRDefault="00863DA2" w:rsidP="007510FD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>Mjera</w:t>
            </w:r>
            <w:r w:rsidR="005000C9" w:rsidRPr="0091228A">
              <w:rPr>
                <w:rFonts w:cstheme="minorHAnsi"/>
                <w:bCs/>
              </w:rPr>
              <w:t xml:space="preserve"> </w:t>
            </w:r>
            <w:r w:rsidRPr="0091228A">
              <w:rPr>
                <w:rFonts w:cstheme="minorHAnsi"/>
                <w:bCs/>
              </w:rPr>
              <w:t xml:space="preserve">3.1. Poticanje ulaganja u znanost i obrazovanje </w:t>
            </w:r>
          </w:p>
          <w:p w14:paraId="34F23E86" w14:textId="13F9676F" w:rsidR="00863DA2" w:rsidRPr="0091228A" w:rsidRDefault="005000C9" w:rsidP="007510FD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863DA2" w:rsidRPr="0091228A">
              <w:rPr>
                <w:rFonts w:cstheme="minorHAnsi"/>
                <w:bCs/>
              </w:rPr>
              <w:t xml:space="preserve">3.2. Unapređenje kvalitete sustava odgoja i obrazovanja kroz nove obrazovne programe i novu infrastrukturu </w:t>
            </w:r>
          </w:p>
          <w:p w14:paraId="4C55715F" w14:textId="77777777" w:rsidR="00863DA2" w:rsidRPr="0091228A" w:rsidRDefault="005000C9" w:rsidP="007510FD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863DA2" w:rsidRPr="0091228A">
              <w:rPr>
                <w:rFonts w:cstheme="minorHAnsi"/>
                <w:bCs/>
              </w:rPr>
              <w:t>3.3. Osiguranje jednakog pristupa obrazovanju</w:t>
            </w:r>
          </w:p>
        </w:tc>
      </w:tr>
    </w:tbl>
    <w:p w14:paraId="397A82A5" w14:textId="77777777" w:rsidR="003542AF" w:rsidRDefault="003542AF" w:rsidP="00810B33">
      <w:pPr>
        <w:rPr>
          <w:rFonts w:cstheme="minorHAnsi"/>
          <w:b/>
          <w:bCs/>
        </w:rPr>
      </w:pPr>
    </w:p>
    <w:p w14:paraId="1A2F8177" w14:textId="77777777" w:rsidR="003542AF" w:rsidRDefault="003542AF" w:rsidP="00810B33">
      <w:pPr>
        <w:rPr>
          <w:rFonts w:cstheme="minorHAnsi"/>
          <w:b/>
          <w:bCs/>
        </w:rPr>
      </w:pPr>
    </w:p>
    <w:p w14:paraId="08B69CC9" w14:textId="2BF2BC53" w:rsidR="00810B33" w:rsidRPr="0091228A" w:rsidRDefault="005000C9" w:rsidP="00810B33">
      <w:pPr>
        <w:rPr>
          <w:rFonts w:cstheme="minorHAnsi"/>
          <w:b/>
          <w:bCs/>
        </w:rPr>
      </w:pPr>
      <w:r w:rsidRPr="0091228A">
        <w:rPr>
          <w:rFonts w:cstheme="minorHAnsi"/>
          <w:b/>
          <w:bCs/>
        </w:rPr>
        <w:t xml:space="preserve">Posebni cilj </w:t>
      </w:r>
      <w:r w:rsidR="00810B33" w:rsidRPr="0091228A">
        <w:rPr>
          <w:rFonts w:cstheme="minorHAnsi"/>
          <w:b/>
          <w:bCs/>
        </w:rPr>
        <w:t>4. Održivo korištenje prirodne i kulturne baštine za gospodarski rast i razvoj</w:t>
      </w:r>
    </w:p>
    <w:p w14:paraId="6288F2BF" w14:textId="6201D69A" w:rsidR="00810B33" w:rsidRPr="0091228A" w:rsidRDefault="00AC7E3F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>Ovaj p</w:t>
      </w:r>
      <w:r w:rsidR="005000C9" w:rsidRPr="0091228A">
        <w:rPr>
          <w:rFonts w:cstheme="minorHAnsi"/>
        </w:rPr>
        <w:t xml:space="preserve">osebni cilj </w:t>
      </w:r>
      <w:r w:rsidR="00810B33" w:rsidRPr="0091228A">
        <w:rPr>
          <w:rFonts w:cstheme="minorHAnsi"/>
        </w:rPr>
        <w:t xml:space="preserve">osigurava  korištenje prirodnog i kulturnog bogatstva Brodsko-posavske županije za </w:t>
      </w:r>
      <w:r w:rsidRPr="0091228A">
        <w:rPr>
          <w:rFonts w:cstheme="minorHAnsi"/>
        </w:rPr>
        <w:t xml:space="preserve">potrebe </w:t>
      </w:r>
      <w:r w:rsidR="00810B33" w:rsidRPr="0091228A">
        <w:rPr>
          <w:rFonts w:cstheme="minorHAnsi"/>
        </w:rPr>
        <w:t>ostvarivanj</w:t>
      </w:r>
      <w:r w:rsidRPr="0091228A">
        <w:rPr>
          <w:rFonts w:cstheme="minorHAnsi"/>
        </w:rPr>
        <w:t>a</w:t>
      </w:r>
      <w:r w:rsidR="00810B33" w:rsidRPr="0091228A">
        <w:rPr>
          <w:rFonts w:cstheme="minorHAnsi"/>
        </w:rPr>
        <w:t xml:space="preserve"> održivog turizma i gospodarskog rasta. Interes za ruralnim, ekološkim i kulturnim turizmom i dalje neprestano raste te se ovim </w:t>
      </w:r>
      <w:r w:rsidRPr="0091228A">
        <w:rPr>
          <w:rFonts w:cstheme="minorHAnsi"/>
        </w:rPr>
        <w:t xml:space="preserve">posebnim ciljem </w:t>
      </w:r>
      <w:r w:rsidR="00810B33" w:rsidRPr="0091228A">
        <w:rPr>
          <w:rFonts w:cstheme="minorHAnsi"/>
        </w:rPr>
        <w:t xml:space="preserve"> žele pojačati komparativne prednosti koje BPŽ ima </w:t>
      </w:r>
      <w:r w:rsidR="00062C4A" w:rsidRPr="0091228A">
        <w:rPr>
          <w:rFonts w:cstheme="minorHAnsi"/>
        </w:rPr>
        <w:t xml:space="preserve">temeljem </w:t>
      </w:r>
      <w:r w:rsidR="00810B33" w:rsidRPr="0091228A">
        <w:rPr>
          <w:rFonts w:cstheme="minorHAnsi"/>
        </w:rPr>
        <w:t xml:space="preserve"> bogate prirodne i kulturne baštine. </w:t>
      </w:r>
    </w:p>
    <w:p w14:paraId="28189090" w14:textId="194A0171" w:rsidR="00810B33" w:rsidRPr="0091228A" w:rsidRDefault="00810B33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>Bogatstvo prirodn</w:t>
      </w:r>
      <w:r w:rsidR="00AC7E3F" w:rsidRPr="0091228A">
        <w:rPr>
          <w:rFonts w:cstheme="minorHAnsi"/>
        </w:rPr>
        <w:t>e</w:t>
      </w:r>
      <w:r w:rsidRPr="0091228A">
        <w:rPr>
          <w:rFonts w:cstheme="minorHAnsi"/>
        </w:rPr>
        <w:t xml:space="preserve"> i kulturn</w:t>
      </w:r>
      <w:r w:rsidR="00A374DA">
        <w:rPr>
          <w:rFonts w:cstheme="minorHAnsi"/>
        </w:rPr>
        <w:t>e</w:t>
      </w:r>
      <w:r w:rsidRPr="0091228A">
        <w:rPr>
          <w:rFonts w:cstheme="minorHAnsi"/>
        </w:rPr>
        <w:t xml:space="preserve"> materijaln</w:t>
      </w:r>
      <w:r w:rsidR="00AC7E3F" w:rsidRPr="0091228A">
        <w:rPr>
          <w:rFonts w:cstheme="minorHAnsi"/>
        </w:rPr>
        <w:t>e</w:t>
      </w:r>
      <w:r w:rsidRPr="0091228A">
        <w:rPr>
          <w:rFonts w:cstheme="minorHAnsi"/>
        </w:rPr>
        <w:t xml:space="preserve"> i nematerijaln</w:t>
      </w:r>
      <w:r w:rsidR="00AC7E3F" w:rsidRPr="0091228A">
        <w:rPr>
          <w:rFonts w:cstheme="minorHAnsi"/>
        </w:rPr>
        <w:t xml:space="preserve">e </w:t>
      </w:r>
      <w:r w:rsidRPr="0091228A">
        <w:rPr>
          <w:rFonts w:cstheme="minorHAnsi"/>
        </w:rPr>
        <w:t>baštin</w:t>
      </w:r>
      <w:r w:rsidR="00AC7E3F" w:rsidRPr="0091228A">
        <w:rPr>
          <w:rFonts w:cstheme="minorHAnsi"/>
        </w:rPr>
        <w:t>e</w:t>
      </w:r>
      <w:r w:rsidRPr="0091228A">
        <w:rPr>
          <w:rFonts w:cstheme="minorHAnsi"/>
        </w:rPr>
        <w:t xml:space="preserve"> </w:t>
      </w:r>
      <w:r w:rsidR="00AC7E3F" w:rsidRPr="0091228A">
        <w:rPr>
          <w:rFonts w:cstheme="minorHAnsi"/>
        </w:rPr>
        <w:t xml:space="preserve">u Županiji </w:t>
      </w:r>
      <w:r w:rsidRPr="0091228A">
        <w:rPr>
          <w:rFonts w:cstheme="minorHAnsi"/>
        </w:rPr>
        <w:t xml:space="preserve">otvara mogućnosti gospodarskog korištenja kulturne i prirodne baštine,  razvoja kulturnih i kreativnih industrija, daljnjeg, </w:t>
      </w:r>
      <w:r w:rsidR="00AC7E3F" w:rsidRPr="0091228A">
        <w:rPr>
          <w:rFonts w:cstheme="minorHAnsi"/>
        </w:rPr>
        <w:t xml:space="preserve"> </w:t>
      </w:r>
      <w:r w:rsidRPr="0091228A">
        <w:rPr>
          <w:rFonts w:cstheme="minorHAnsi"/>
        </w:rPr>
        <w:t>korištenja programa</w:t>
      </w:r>
      <w:r w:rsidR="00A374DA">
        <w:rPr>
          <w:rFonts w:cstheme="minorHAnsi"/>
        </w:rPr>
        <w:t xml:space="preserve"> EU-a</w:t>
      </w:r>
      <w:r w:rsidRPr="0091228A">
        <w:rPr>
          <w:rFonts w:cstheme="minorHAnsi"/>
        </w:rPr>
        <w:t xml:space="preserve"> za razvoj kulture i održivo korištenje kulturne i prirodne baštine, kao i mogućnost razvoja sportskog, ruralnog, kulturnog i zdravstvenog turizma. </w:t>
      </w:r>
    </w:p>
    <w:p w14:paraId="1CD5BA22" w14:textId="2E76D101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 xml:space="preserve">Ukupni financijski okvir za provedbi </w:t>
      </w:r>
      <w:r w:rsidR="003C68DC" w:rsidRPr="0091228A">
        <w:rPr>
          <w:rFonts w:eastAsia="Times New Roman" w:cstheme="minorHAnsi"/>
          <w:lang w:eastAsia="hr-HR"/>
        </w:rPr>
        <w:t>o</w:t>
      </w:r>
      <w:r w:rsidRPr="0091228A">
        <w:rPr>
          <w:rFonts w:eastAsia="Times New Roman" w:cstheme="minorHAnsi"/>
          <w:lang w:eastAsia="hr-HR"/>
        </w:rPr>
        <w:t xml:space="preserve">vog posebnog cilja je </w:t>
      </w:r>
      <w:r w:rsidR="00DC0254" w:rsidRPr="009820F7">
        <w:rPr>
          <w:rFonts w:eastAsia="Times New Roman" w:cstheme="minorHAnsi"/>
          <w:lang w:eastAsia="hr-HR"/>
        </w:rPr>
        <w:t>18.939.952,25 kn</w:t>
      </w:r>
      <w:r w:rsidRPr="0091228A">
        <w:rPr>
          <w:rFonts w:eastAsia="Times New Roman" w:cstheme="minorHAnsi"/>
          <w:lang w:eastAsia="hr-HR"/>
        </w:rPr>
        <w:t>.</w:t>
      </w:r>
    </w:p>
    <w:p w14:paraId="572BB287" w14:textId="77777777" w:rsidR="00E302A4" w:rsidRPr="0091228A" w:rsidRDefault="00E302A4" w:rsidP="00810B33">
      <w:pPr>
        <w:jc w:val="both"/>
        <w:rPr>
          <w:rFonts w:eastAsia="Times New Roman" w:cstheme="minorHAnsi"/>
          <w:lang w:eastAsia="hr-HR"/>
        </w:rPr>
      </w:pPr>
    </w:p>
    <w:p w14:paraId="498FF80F" w14:textId="77777777" w:rsidR="00810B33" w:rsidRPr="0091228A" w:rsidRDefault="00810B33" w:rsidP="00810B33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  <w:i/>
          <w:iCs/>
          <w:u w:val="single"/>
        </w:rPr>
        <w:t>Pokazatelji ishoda za posebni cilj:</w:t>
      </w:r>
    </w:p>
    <w:p w14:paraId="6E921E3E" w14:textId="42D4908E" w:rsidR="00CA6021" w:rsidRDefault="0021573B" w:rsidP="00AC7E3F">
      <w:pPr>
        <w:jc w:val="both"/>
        <w:rPr>
          <w:rFonts w:cstheme="minorHAnsi"/>
        </w:rPr>
      </w:pPr>
      <w:r w:rsidRPr="0021573B">
        <w:rPr>
          <w:rFonts w:cstheme="minorHAnsi"/>
        </w:rPr>
        <w:t>I0.02.8.17  Noćenja u turističkim smještajnim objektima</w:t>
      </w:r>
    </w:p>
    <w:p w14:paraId="09EB6EAD" w14:textId="77777777" w:rsidR="0021573B" w:rsidRPr="0091228A" w:rsidRDefault="0021573B" w:rsidP="00AC7E3F">
      <w:pPr>
        <w:jc w:val="both"/>
        <w:rPr>
          <w:rFonts w:cstheme="minorHAnsi"/>
        </w:rPr>
      </w:pPr>
    </w:p>
    <w:p w14:paraId="26769D3F" w14:textId="5DDB9F44" w:rsidR="00AC7E3F" w:rsidRPr="0091228A" w:rsidRDefault="00E302A4" w:rsidP="00AC7E3F">
      <w:pPr>
        <w:jc w:val="both"/>
        <w:rPr>
          <w:rFonts w:cstheme="minorHAnsi"/>
        </w:rPr>
      </w:pPr>
      <w:r>
        <w:rPr>
          <w:rFonts w:cstheme="minorHAnsi"/>
        </w:rPr>
        <w:t>Slijede m</w:t>
      </w:r>
      <w:r w:rsidR="00AC7E3F" w:rsidRPr="0091228A">
        <w:rPr>
          <w:rFonts w:cstheme="minorHAnsi"/>
        </w:rPr>
        <w:t xml:space="preserve">jere pomoću kojih će se realizirati posebni cilj: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63DA2" w:rsidRPr="0091228A" w14:paraId="32D0253E" w14:textId="77777777" w:rsidTr="00A55D84">
        <w:trPr>
          <w:trHeight w:val="1518"/>
        </w:trPr>
        <w:tc>
          <w:tcPr>
            <w:tcW w:w="2263" w:type="dxa"/>
            <w:vAlign w:val="center"/>
          </w:tcPr>
          <w:p w14:paraId="262DEDC1" w14:textId="77777777" w:rsidR="00863DA2" w:rsidRPr="0091228A" w:rsidRDefault="005000C9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</w:rPr>
              <w:t xml:space="preserve">Posebni cilj </w:t>
            </w:r>
            <w:r w:rsidR="00863DA2" w:rsidRPr="0091228A">
              <w:rPr>
                <w:rFonts w:cstheme="minorHAnsi"/>
                <w:b/>
              </w:rPr>
              <w:t xml:space="preserve">4. </w:t>
            </w:r>
            <w:r w:rsidR="00863DA2" w:rsidRPr="0091228A">
              <w:rPr>
                <w:rFonts w:cstheme="minorHAnsi"/>
                <w:b/>
                <w:bCs/>
              </w:rPr>
              <w:t>Održivo korištenje prirodne i kulturne baštine za gospodarski rast i razvoj</w:t>
            </w:r>
            <w:r w:rsidR="00863DA2" w:rsidRPr="0091228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799" w:type="dxa"/>
          </w:tcPr>
          <w:p w14:paraId="4B06BB10" w14:textId="77777777" w:rsidR="00863DA2" w:rsidRPr="0091228A" w:rsidRDefault="005000C9" w:rsidP="007510FD">
            <w:pPr>
              <w:jc w:val="both"/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863DA2" w:rsidRPr="0091228A">
              <w:rPr>
                <w:rFonts w:cstheme="minorHAnsi"/>
                <w:bCs/>
              </w:rPr>
              <w:t>4.1. Valorizacija i stavljanje u funkciju kulturne i prirodne baštine</w:t>
            </w:r>
          </w:p>
          <w:p w14:paraId="5C432642" w14:textId="77777777" w:rsidR="00863DA2" w:rsidRPr="0091228A" w:rsidRDefault="00863DA2" w:rsidP="007510FD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4.2. Poticanje razvoja selektivnih oblika turizma </w:t>
            </w:r>
          </w:p>
          <w:p w14:paraId="171F9CD4" w14:textId="77777777" w:rsidR="00863DA2" w:rsidRPr="0091228A" w:rsidRDefault="005000C9" w:rsidP="007510FD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863DA2" w:rsidRPr="0091228A">
              <w:rPr>
                <w:rFonts w:cstheme="minorHAnsi"/>
                <w:bCs/>
              </w:rPr>
              <w:t>4.3. Jačanje turističke destinacije</w:t>
            </w:r>
          </w:p>
        </w:tc>
      </w:tr>
    </w:tbl>
    <w:p w14:paraId="5E247F4C" w14:textId="77777777" w:rsidR="00AE7A34" w:rsidRPr="0091228A" w:rsidRDefault="00AE7A34" w:rsidP="00810B33">
      <w:pPr>
        <w:rPr>
          <w:rFonts w:cstheme="minorHAnsi"/>
          <w:b/>
          <w:bCs/>
        </w:rPr>
      </w:pPr>
    </w:p>
    <w:p w14:paraId="2BD4B163" w14:textId="77777777" w:rsidR="00AE7A34" w:rsidRPr="0091228A" w:rsidRDefault="00AE7A34" w:rsidP="00810B33">
      <w:pPr>
        <w:rPr>
          <w:rFonts w:cstheme="minorHAnsi"/>
          <w:b/>
          <w:bCs/>
        </w:rPr>
      </w:pPr>
    </w:p>
    <w:p w14:paraId="3BFC1520" w14:textId="4D79E272" w:rsidR="00810B33" w:rsidRPr="0091228A" w:rsidRDefault="00B9554A" w:rsidP="00810B3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Posebni</w:t>
      </w:r>
      <w:r w:rsidR="00810B33" w:rsidRPr="0091228A">
        <w:rPr>
          <w:rFonts w:cstheme="minorHAnsi"/>
          <w:b/>
          <w:bCs/>
        </w:rPr>
        <w:t xml:space="preserve"> cilj </w:t>
      </w:r>
      <w:r w:rsidR="005000C9" w:rsidRPr="0091228A">
        <w:rPr>
          <w:rFonts w:cstheme="minorHAnsi"/>
          <w:b/>
          <w:bCs/>
        </w:rPr>
        <w:t>5</w:t>
      </w:r>
      <w:r w:rsidR="00810B33" w:rsidRPr="0091228A">
        <w:rPr>
          <w:rFonts w:cstheme="minorHAnsi"/>
          <w:b/>
          <w:bCs/>
        </w:rPr>
        <w:t>. Demografski rast i aktivno življenje</w:t>
      </w:r>
    </w:p>
    <w:p w14:paraId="6F5ECA4C" w14:textId="07DF3FE4" w:rsidR="00810B33" w:rsidRPr="0091228A" w:rsidRDefault="003C68DC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Ovaj </w:t>
      </w:r>
      <w:r w:rsidR="00B9554A">
        <w:rPr>
          <w:rFonts w:cstheme="minorHAnsi"/>
        </w:rPr>
        <w:t>posebni</w:t>
      </w:r>
      <w:r w:rsidR="00810B33" w:rsidRPr="0091228A">
        <w:rPr>
          <w:rFonts w:cstheme="minorHAnsi"/>
        </w:rPr>
        <w:t xml:space="preserve"> cilj </w:t>
      </w:r>
      <w:r w:rsidRPr="0091228A">
        <w:rPr>
          <w:rFonts w:cstheme="minorHAnsi"/>
        </w:rPr>
        <w:t xml:space="preserve"> </w:t>
      </w:r>
      <w:r w:rsidR="00810B33" w:rsidRPr="0091228A">
        <w:rPr>
          <w:rFonts w:cstheme="minorHAnsi"/>
        </w:rPr>
        <w:t>osigurava zaustavljanje negativnog trenda gubitka i starenja stanovništva na području Brodsko-posavske županije poticanje</w:t>
      </w:r>
      <w:r w:rsidR="00E302A4">
        <w:rPr>
          <w:rFonts w:cstheme="minorHAnsi"/>
        </w:rPr>
        <w:t>m</w:t>
      </w:r>
      <w:r w:rsidR="00810B33" w:rsidRPr="0091228A">
        <w:rPr>
          <w:rFonts w:cstheme="minorHAnsi"/>
        </w:rPr>
        <w:t xml:space="preserve"> pronatalitetne politike i zaustavljanje</w:t>
      </w:r>
      <w:r w:rsidR="00E302A4">
        <w:rPr>
          <w:rFonts w:cstheme="minorHAnsi"/>
        </w:rPr>
        <w:t>m</w:t>
      </w:r>
      <w:r w:rsidR="00810B33" w:rsidRPr="0091228A">
        <w:rPr>
          <w:rFonts w:cstheme="minorHAnsi"/>
        </w:rPr>
        <w:t xml:space="preserve"> iseljavanja mladih.</w:t>
      </w:r>
    </w:p>
    <w:p w14:paraId="2F9144A1" w14:textId="21F1645B" w:rsidR="00810B33" w:rsidRPr="0091228A" w:rsidRDefault="00810B33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Uvođenjem </w:t>
      </w:r>
      <w:r w:rsidR="003C68DC" w:rsidRPr="0091228A">
        <w:rPr>
          <w:rFonts w:cstheme="minorHAnsi"/>
        </w:rPr>
        <w:t xml:space="preserve">ovog posebnog </w:t>
      </w:r>
      <w:r w:rsidRPr="0091228A">
        <w:rPr>
          <w:rFonts w:cstheme="minorHAnsi"/>
        </w:rPr>
        <w:t xml:space="preserve">cilja </w:t>
      </w:r>
      <w:r w:rsidR="003C68DC" w:rsidRPr="0091228A">
        <w:rPr>
          <w:rFonts w:cstheme="minorHAnsi"/>
        </w:rPr>
        <w:t xml:space="preserve"> </w:t>
      </w:r>
      <w:r w:rsidRPr="0091228A">
        <w:rPr>
          <w:rFonts w:cstheme="minorHAnsi"/>
        </w:rPr>
        <w:t xml:space="preserve">stvaraju se mogućnosti za smanjenje, odnosno preokret </w:t>
      </w:r>
      <w:r w:rsidR="003C68DC" w:rsidRPr="0091228A">
        <w:rPr>
          <w:rFonts w:cstheme="minorHAnsi"/>
        </w:rPr>
        <w:t xml:space="preserve"> </w:t>
      </w:r>
      <w:r w:rsidRPr="0091228A">
        <w:rPr>
          <w:rFonts w:cstheme="minorHAnsi"/>
        </w:rPr>
        <w:t xml:space="preserve">negativnog </w:t>
      </w:r>
      <w:r w:rsidR="003C68DC" w:rsidRPr="0091228A">
        <w:rPr>
          <w:rFonts w:cstheme="minorHAnsi"/>
        </w:rPr>
        <w:t xml:space="preserve">demografskog </w:t>
      </w:r>
      <w:r w:rsidRPr="0091228A">
        <w:rPr>
          <w:rFonts w:cstheme="minorHAnsi"/>
        </w:rPr>
        <w:t>trenda, prvenstveno korištenjem mjera nacionalne demografske politike, ali i učenjem na primjerima dobre prakse u provedbi uspješne pronatalitetne politike u pojedinim JLS</w:t>
      </w:r>
      <w:r w:rsidR="00E302A4">
        <w:rPr>
          <w:rFonts w:cstheme="minorHAnsi"/>
        </w:rPr>
        <w:t>-ovima</w:t>
      </w:r>
      <w:r w:rsidRPr="0091228A">
        <w:rPr>
          <w:rFonts w:cstheme="minorHAnsi"/>
        </w:rPr>
        <w:t xml:space="preserve"> koji se mogu primjenjivati na području cijele Županije. Također, BPŽ ima iskustvo i sposobnost učinkovitog korištenja fondova</w:t>
      </w:r>
      <w:r w:rsidR="00E302A4">
        <w:rPr>
          <w:rFonts w:cstheme="minorHAnsi"/>
        </w:rPr>
        <w:t xml:space="preserve"> EU-a</w:t>
      </w:r>
      <w:r w:rsidRPr="0091228A">
        <w:rPr>
          <w:rFonts w:cstheme="minorHAnsi"/>
        </w:rPr>
        <w:t xml:space="preserve"> i drugih izvora za novo zapošljavanje, posebno mladih i obrazovanih ljudi, kao i za poboljšanje kvalitete življenja u Županiji, osobito u njezinim ruralnim dijelovima.</w:t>
      </w:r>
    </w:p>
    <w:p w14:paraId="44CD6D64" w14:textId="2DABA99B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 xml:space="preserve">Ukupni financijski okvir za provedbi ovog posebnog cilja je </w:t>
      </w:r>
      <w:r w:rsidR="00DC0254" w:rsidRPr="009820F7">
        <w:rPr>
          <w:rFonts w:eastAsia="Times New Roman" w:cstheme="minorHAnsi"/>
          <w:lang w:eastAsia="hr-HR"/>
        </w:rPr>
        <w:t>910.000,00 kn</w:t>
      </w:r>
      <w:r w:rsidR="00DC0254">
        <w:rPr>
          <w:rFonts w:eastAsia="Times New Roman" w:cstheme="minorHAnsi"/>
          <w:lang w:eastAsia="hr-HR"/>
        </w:rPr>
        <w:t>.</w:t>
      </w:r>
    </w:p>
    <w:p w14:paraId="5217B898" w14:textId="77777777" w:rsidR="00CA6021" w:rsidRPr="0091228A" w:rsidRDefault="00CA6021" w:rsidP="00810B33">
      <w:pPr>
        <w:jc w:val="both"/>
        <w:rPr>
          <w:rFonts w:cstheme="minorHAnsi"/>
        </w:rPr>
      </w:pPr>
    </w:p>
    <w:p w14:paraId="483F9127" w14:textId="77777777" w:rsidR="00502EED" w:rsidRDefault="00502EED" w:rsidP="00810B33">
      <w:pPr>
        <w:jc w:val="both"/>
        <w:rPr>
          <w:rFonts w:cstheme="minorHAnsi"/>
          <w:i/>
          <w:iCs/>
          <w:u w:val="single"/>
        </w:rPr>
      </w:pPr>
    </w:p>
    <w:p w14:paraId="18DCC91B" w14:textId="4D9AD739" w:rsidR="00810B33" w:rsidRPr="0091228A" w:rsidRDefault="00810B33" w:rsidP="00810B33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  <w:i/>
          <w:iCs/>
          <w:u w:val="single"/>
        </w:rPr>
        <w:lastRenderedPageBreak/>
        <w:t>Pokazatelji ishoda za posebni cilj:</w:t>
      </w:r>
    </w:p>
    <w:p w14:paraId="03496480" w14:textId="7C0A3710" w:rsidR="00CA6021" w:rsidRPr="0091228A" w:rsidRDefault="0021573B" w:rsidP="003C68DC">
      <w:pPr>
        <w:jc w:val="both"/>
        <w:rPr>
          <w:rFonts w:cstheme="minorHAnsi"/>
        </w:rPr>
      </w:pPr>
      <w:r w:rsidRPr="0021573B">
        <w:rPr>
          <w:rFonts w:cstheme="minorHAnsi"/>
        </w:rPr>
        <w:t>I0.02.3.64 Iznos isplaćenih potpora za novorođenu djecu</w:t>
      </w:r>
    </w:p>
    <w:p w14:paraId="288572B7" w14:textId="77777777" w:rsidR="0021573B" w:rsidRDefault="0021573B" w:rsidP="003C68DC">
      <w:pPr>
        <w:jc w:val="both"/>
        <w:rPr>
          <w:rFonts w:cstheme="minorHAnsi"/>
        </w:rPr>
      </w:pPr>
    </w:p>
    <w:p w14:paraId="0ACD12EC" w14:textId="1960901D" w:rsidR="003C68DC" w:rsidRPr="0091228A" w:rsidRDefault="003C68DC" w:rsidP="003C68DC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</w:rPr>
        <w:t xml:space="preserve">Mjere pomoću kojih će se realizirati posebni cilj su sljedeće: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63DA2" w:rsidRPr="0091228A" w14:paraId="7F8B070D" w14:textId="77777777" w:rsidTr="00A55D84">
        <w:trPr>
          <w:trHeight w:val="759"/>
        </w:trPr>
        <w:tc>
          <w:tcPr>
            <w:tcW w:w="2263" w:type="dxa"/>
            <w:vAlign w:val="center"/>
          </w:tcPr>
          <w:p w14:paraId="7E011C44" w14:textId="77777777" w:rsidR="00863DA2" w:rsidRPr="0091228A" w:rsidRDefault="00863DA2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</w:rPr>
              <w:t xml:space="preserve">Posebni cilj </w:t>
            </w:r>
            <w:r w:rsidR="005000C9" w:rsidRPr="0091228A">
              <w:rPr>
                <w:rFonts w:cstheme="minorHAnsi"/>
                <w:b/>
              </w:rPr>
              <w:t>5</w:t>
            </w:r>
            <w:r w:rsidRPr="0091228A">
              <w:rPr>
                <w:rFonts w:cstheme="minorHAnsi"/>
                <w:b/>
              </w:rPr>
              <w:t xml:space="preserve">. </w:t>
            </w:r>
          </w:p>
          <w:p w14:paraId="0BA66334" w14:textId="77777777" w:rsidR="00863DA2" w:rsidRPr="0091228A" w:rsidRDefault="00863DA2" w:rsidP="007510FD">
            <w:pPr>
              <w:rPr>
                <w:rFonts w:cstheme="minorHAnsi"/>
              </w:rPr>
            </w:pPr>
            <w:r w:rsidRPr="0091228A">
              <w:rPr>
                <w:rFonts w:cstheme="minorHAnsi"/>
                <w:b/>
                <w:bCs/>
              </w:rPr>
              <w:t>Demografski rast i aktivno življenje</w:t>
            </w:r>
          </w:p>
        </w:tc>
        <w:tc>
          <w:tcPr>
            <w:tcW w:w="6799" w:type="dxa"/>
          </w:tcPr>
          <w:p w14:paraId="0938772B" w14:textId="77777777" w:rsidR="00863DA2" w:rsidRPr="0091228A" w:rsidRDefault="00863DA2" w:rsidP="00233976">
            <w:pPr>
              <w:jc w:val="both"/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5000C9" w:rsidRPr="0091228A">
              <w:rPr>
                <w:rFonts w:cstheme="minorHAnsi"/>
                <w:bCs/>
              </w:rPr>
              <w:t>5</w:t>
            </w:r>
            <w:r w:rsidRPr="0091228A">
              <w:rPr>
                <w:rFonts w:cstheme="minorHAnsi"/>
                <w:bCs/>
              </w:rPr>
              <w:t xml:space="preserve">.1. Poticanje pronatalitetne politike </w:t>
            </w:r>
          </w:p>
          <w:p w14:paraId="564065B7" w14:textId="77777777" w:rsidR="00863DA2" w:rsidRPr="0091228A" w:rsidRDefault="00863DA2" w:rsidP="00233976">
            <w:pPr>
              <w:spacing w:before="100" w:beforeAutospacing="1" w:after="100" w:afterAutospacing="1"/>
              <w:jc w:val="both"/>
              <w:rPr>
                <w:rFonts w:cstheme="minorHAnsi"/>
                <w:bCs/>
              </w:rPr>
            </w:pPr>
            <w:r w:rsidRPr="0091228A">
              <w:rPr>
                <w:rFonts w:eastAsia="Times New Roman" w:cstheme="minorHAnsi"/>
                <w:bCs/>
                <w:lang w:eastAsia="hr-HR"/>
              </w:rPr>
              <w:t xml:space="preserve">Mjera </w:t>
            </w:r>
            <w:r w:rsidR="005000C9" w:rsidRPr="0091228A">
              <w:rPr>
                <w:rFonts w:eastAsia="Times New Roman" w:cstheme="minorHAnsi"/>
                <w:bCs/>
                <w:lang w:eastAsia="hr-HR"/>
              </w:rPr>
              <w:t>5</w:t>
            </w:r>
            <w:r w:rsidRPr="0091228A">
              <w:rPr>
                <w:rFonts w:eastAsia="Times New Roman" w:cstheme="minorHAnsi"/>
                <w:bCs/>
                <w:lang w:eastAsia="hr-HR"/>
              </w:rPr>
              <w:t xml:space="preserve">.2. Zaustavljanje iseljavanja mladih </w:t>
            </w:r>
          </w:p>
        </w:tc>
      </w:tr>
    </w:tbl>
    <w:p w14:paraId="4A4BEAC8" w14:textId="19A5F072" w:rsidR="00810B33" w:rsidRPr="0091228A" w:rsidRDefault="00810B33" w:rsidP="00810B33">
      <w:pPr>
        <w:jc w:val="both"/>
        <w:rPr>
          <w:rFonts w:cstheme="minorHAnsi"/>
        </w:rPr>
      </w:pPr>
    </w:p>
    <w:p w14:paraId="5D7AE221" w14:textId="5967122F" w:rsidR="00810B33" w:rsidRPr="0091228A" w:rsidRDefault="00B9554A" w:rsidP="00810B33">
      <w:pPr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Posebni</w:t>
      </w:r>
      <w:r w:rsidR="005000C9" w:rsidRPr="0091228A">
        <w:rPr>
          <w:rFonts w:eastAsia="Times New Roman" w:cstheme="minorHAnsi"/>
          <w:b/>
          <w:bCs/>
          <w:lang w:eastAsia="hr-HR"/>
        </w:rPr>
        <w:t xml:space="preserve"> cilj 6</w:t>
      </w:r>
      <w:r w:rsidR="00810B33" w:rsidRPr="0091228A">
        <w:rPr>
          <w:rFonts w:eastAsia="Times New Roman" w:cstheme="minorHAnsi"/>
          <w:b/>
          <w:bCs/>
          <w:lang w:eastAsia="hr-HR"/>
        </w:rPr>
        <w:t xml:space="preserve">. Ulaganje u zdravstvenu i socijalnu skrb </w:t>
      </w:r>
    </w:p>
    <w:p w14:paraId="55F76FB0" w14:textId="77441679" w:rsidR="00810B33" w:rsidRPr="0091228A" w:rsidRDefault="003C68DC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>Ovim se p</w:t>
      </w:r>
      <w:r w:rsidR="00810B33" w:rsidRPr="0091228A">
        <w:rPr>
          <w:rFonts w:eastAsia="Times New Roman" w:cstheme="minorHAnsi"/>
          <w:lang w:eastAsia="hr-HR"/>
        </w:rPr>
        <w:t>oseb</w:t>
      </w:r>
      <w:r w:rsidRPr="0091228A">
        <w:rPr>
          <w:rFonts w:eastAsia="Times New Roman" w:cstheme="minorHAnsi"/>
          <w:lang w:eastAsia="hr-HR"/>
        </w:rPr>
        <w:t xml:space="preserve">nim </w:t>
      </w:r>
      <w:r w:rsidR="00810B33" w:rsidRPr="0091228A">
        <w:rPr>
          <w:rFonts w:eastAsia="Times New Roman" w:cstheme="minorHAnsi"/>
          <w:lang w:eastAsia="hr-HR"/>
        </w:rPr>
        <w:t>cilj</w:t>
      </w:r>
      <w:r w:rsidRPr="0091228A">
        <w:rPr>
          <w:rFonts w:eastAsia="Times New Roman" w:cstheme="minorHAnsi"/>
          <w:lang w:eastAsia="hr-HR"/>
        </w:rPr>
        <w:t>em</w:t>
      </w:r>
      <w:r w:rsidR="00810B33" w:rsidRPr="0091228A">
        <w:rPr>
          <w:rFonts w:eastAsia="Times New Roman" w:cstheme="minorHAnsi"/>
          <w:lang w:eastAsia="hr-HR"/>
        </w:rPr>
        <w:t xml:space="preserve"> osigurava poboljšanje dostupnosti i kvalitete zdravstvenih i socijalnih usluga putem socijalnog uključivanja, unapređenja i modernizacije sustava zdravstvene zaštite i sustava socijalne skrbi.</w:t>
      </w:r>
    </w:p>
    <w:p w14:paraId="10849EFD" w14:textId="094FCB7F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 xml:space="preserve">Zdravstveni sustav Brodsko-posavske županije obuhvaća opremljene zdravstvene ustanove,  liječnički i drugi zdravstveni kadar, kao i relativno dobro stanje zdravstvene infrastrukture, što je cilj održati i u </w:t>
      </w:r>
      <w:r w:rsidR="00EC0DF0" w:rsidRPr="0091228A">
        <w:rPr>
          <w:rFonts w:eastAsia="Times New Roman" w:cstheme="minorHAnsi"/>
          <w:lang w:eastAsia="hr-HR"/>
        </w:rPr>
        <w:t xml:space="preserve">narednom </w:t>
      </w:r>
      <w:r w:rsidRPr="0091228A">
        <w:rPr>
          <w:rFonts w:eastAsia="Times New Roman" w:cstheme="minorHAnsi"/>
          <w:lang w:eastAsia="hr-HR"/>
        </w:rPr>
        <w:t>razdoblju.</w:t>
      </w:r>
    </w:p>
    <w:p w14:paraId="4225838D" w14:textId="339C0642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 xml:space="preserve">Na području Županije postignuta je visoka razina kvalitete življenja za starije, nemoćne i ljude s </w:t>
      </w:r>
      <w:r w:rsidR="00B26B9F" w:rsidRPr="0091228A">
        <w:rPr>
          <w:rFonts w:eastAsia="Times New Roman" w:cstheme="minorHAnsi"/>
          <w:lang w:eastAsia="hr-HR"/>
        </w:rPr>
        <w:t xml:space="preserve">posebnim  </w:t>
      </w:r>
      <w:r w:rsidRPr="0091228A">
        <w:rPr>
          <w:rFonts w:eastAsia="Times New Roman" w:cstheme="minorHAnsi"/>
          <w:lang w:eastAsia="hr-HR"/>
        </w:rPr>
        <w:t>potrebama</w:t>
      </w:r>
      <w:r w:rsidR="00B26B9F" w:rsidRPr="0091228A">
        <w:rPr>
          <w:rFonts w:eastAsia="Times New Roman" w:cstheme="minorHAnsi"/>
          <w:lang w:eastAsia="hr-HR"/>
        </w:rPr>
        <w:t xml:space="preserve">. </w:t>
      </w:r>
      <w:r w:rsidRPr="0091228A">
        <w:rPr>
          <w:rFonts w:eastAsia="Times New Roman" w:cstheme="minorHAnsi"/>
          <w:lang w:eastAsia="hr-HR"/>
        </w:rPr>
        <w:t>Pokretanje i razvoj socijalnih inovacija te sposobnosti za korištenje fondova</w:t>
      </w:r>
      <w:r w:rsidR="00607446">
        <w:rPr>
          <w:rFonts w:eastAsia="Times New Roman" w:cstheme="minorHAnsi"/>
          <w:lang w:eastAsia="hr-HR"/>
        </w:rPr>
        <w:t xml:space="preserve"> EU-a</w:t>
      </w:r>
      <w:r w:rsidRPr="0091228A">
        <w:rPr>
          <w:rFonts w:eastAsia="Times New Roman" w:cstheme="minorHAnsi"/>
          <w:lang w:eastAsia="hr-HR"/>
        </w:rPr>
        <w:t xml:space="preserve"> dodatno će unaprijediti županijsku socijalnu politiku.</w:t>
      </w:r>
    </w:p>
    <w:p w14:paraId="343494C3" w14:textId="0245B4D0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 xml:space="preserve">Ukupni financijski okvir za provedbi ovog posebnog cilja je </w:t>
      </w:r>
      <w:r w:rsidR="00256E48" w:rsidRPr="009820F7">
        <w:rPr>
          <w:rFonts w:eastAsia="Times New Roman" w:cstheme="minorHAnsi"/>
          <w:lang w:eastAsia="hr-HR"/>
        </w:rPr>
        <w:t>5.110.446.057,60 kn</w:t>
      </w:r>
      <w:r w:rsidR="00DC0254">
        <w:rPr>
          <w:rFonts w:eastAsia="Times New Roman" w:cstheme="minorHAnsi"/>
          <w:lang w:eastAsia="hr-HR"/>
        </w:rPr>
        <w:t>.</w:t>
      </w:r>
    </w:p>
    <w:p w14:paraId="5E7710B4" w14:textId="77777777" w:rsidR="00CA6021" w:rsidRPr="0091228A" w:rsidRDefault="00CA6021" w:rsidP="00810B33">
      <w:pPr>
        <w:jc w:val="both"/>
        <w:rPr>
          <w:rFonts w:eastAsia="Times New Roman" w:cstheme="minorHAnsi"/>
          <w:lang w:eastAsia="hr-HR"/>
        </w:rPr>
      </w:pPr>
    </w:p>
    <w:p w14:paraId="6EC7EF7F" w14:textId="77777777" w:rsidR="00810B33" w:rsidRPr="0091228A" w:rsidRDefault="00810B33" w:rsidP="00810B33">
      <w:pPr>
        <w:jc w:val="both"/>
        <w:rPr>
          <w:rFonts w:eastAsia="Times New Roman" w:cstheme="minorHAnsi"/>
          <w:i/>
          <w:iCs/>
          <w:u w:val="single"/>
          <w:lang w:eastAsia="hr-HR"/>
        </w:rPr>
      </w:pPr>
      <w:r w:rsidRPr="0091228A">
        <w:rPr>
          <w:rFonts w:eastAsia="Times New Roman" w:cstheme="minorHAnsi"/>
          <w:i/>
          <w:iCs/>
          <w:u w:val="single"/>
          <w:lang w:eastAsia="hr-HR"/>
        </w:rPr>
        <w:t>Pokazatelji ishoda za posebni cilj:</w:t>
      </w:r>
    </w:p>
    <w:p w14:paraId="21CD353B" w14:textId="7B91EFDD" w:rsidR="0021573B" w:rsidRDefault="0021573B" w:rsidP="00810B33">
      <w:pPr>
        <w:jc w:val="both"/>
        <w:rPr>
          <w:rFonts w:cstheme="minorHAnsi"/>
        </w:rPr>
      </w:pPr>
      <w:r w:rsidRPr="0021573B">
        <w:rPr>
          <w:rFonts w:cstheme="minorHAnsi"/>
        </w:rPr>
        <w:t>IO.02.05.53 bruto investicije materijalnu I nematerijalnu imovinu u području "Djelatnosti zdravstvene zaštite I socijalne skrbi"</w:t>
      </w:r>
    </w:p>
    <w:p w14:paraId="1EA2470C" w14:textId="52299F32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cstheme="minorHAnsi"/>
        </w:rPr>
        <w:t>OI.02.7.33 e-zdravstvo</w:t>
      </w:r>
    </w:p>
    <w:p w14:paraId="528C5673" w14:textId="77777777" w:rsidR="00810B33" w:rsidRPr="0091228A" w:rsidRDefault="00810B33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>Osobe u riziku od siromaštva ili socijalne isključenosti</w:t>
      </w:r>
    </w:p>
    <w:p w14:paraId="67699ABA" w14:textId="77777777" w:rsidR="00CA6021" w:rsidRPr="0091228A" w:rsidRDefault="00CA6021" w:rsidP="00EC0DF0">
      <w:pPr>
        <w:jc w:val="both"/>
        <w:rPr>
          <w:rFonts w:cstheme="minorHAnsi"/>
        </w:rPr>
      </w:pPr>
    </w:p>
    <w:p w14:paraId="226EC6D2" w14:textId="03A8D0FF" w:rsidR="00EC0DF0" w:rsidRPr="0091228A" w:rsidRDefault="00EC0DF0" w:rsidP="00EC0DF0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</w:rPr>
        <w:t xml:space="preserve">Mjere pomoću kojih će se realizirati posebni cilj su sljedeće: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63DA2" w:rsidRPr="0091228A" w14:paraId="761D574F" w14:textId="77777777" w:rsidTr="00A55D84">
        <w:trPr>
          <w:trHeight w:val="1022"/>
        </w:trPr>
        <w:tc>
          <w:tcPr>
            <w:tcW w:w="2263" w:type="dxa"/>
            <w:vAlign w:val="center"/>
          </w:tcPr>
          <w:p w14:paraId="42F87135" w14:textId="77777777" w:rsidR="00863DA2" w:rsidRPr="0091228A" w:rsidRDefault="00863DA2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</w:rPr>
              <w:t xml:space="preserve">Posebni cilj </w:t>
            </w:r>
            <w:r w:rsidR="005000C9" w:rsidRPr="0091228A">
              <w:rPr>
                <w:rFonts w:cstheme="minorHAnsi"/>
                <w:b/>
              </w:rPr>
              <w:t>6</w:t>
            </w:r>
            <w:r w:rsidRPr="0091228A">
              <w:rPr>
                <w:rFonts w:cstheme="minorHAnsi"/>
                <w:b/>
              </w:rPr>
              <w:t xml:space="preserve">. </w:t>
            </w:r>
          </w:p>
          <w:p w14:paraId="501BE79B" w14:textId="77777777" w:rsidR="00863DA2" w:rsidRPr="0091228A" w:rsidRDefault="00863DA2" w:rsidP="007510FD">
            <w:pPr>
              <w:rPr>
                <w:rFonts w:cstheme="minorHAnsi"/>
                <w:color w:val="FF0000"/>
              </w:rPr>
            </w:pPr>
            <w:r w:rsidRPr="0091228A">
              <w:rPr>
                <w:rFonts w:eastAsia="Times New Roman" w:cstheme="minorHAnsi"/>
                <w:b/>
                <w:bCs/>
                <w:lang w:eastAsia="hr-HR"/>
              </w:rPr>
              <w:t>Ulaganje u zdravstvenu i socijalnu skrb</w:t>
            </w:r>
          </w:p>
        </w:tc>
        <w:tc>
          <w:tcPr>
            <w:tcW w:w="6799" w:type="dxa"/>
          </w:tcPr>
          <w:p w14:paraId="5990F315" w14:textId="77777777" w:rsidR="00863DA2" w:rsidRPr="0091228A" w:rsidRDefault="00863DA2" w:rsidP="00863DA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91228A">
              <w:rPr>
                <w:rFonts w:eastAsia="Times New Roman" w:cstheme="minorHAnsi"/>
                <w:bCs/>
                <w:lang w:eastAsia="hr-HR"/>
              </w:rPr>
              <w:t xml:space="preserve">Mjera </w:t>
            </w:r>
            <w:r w:rsidR="005000C9" w:rsidRPr="0091228A">
              <w:rPr>
                <w:rFonts w:eastAsia="Times New Roman" w:cstheme="minorHAnsi"/>
                <w:bCs/>
                <w:lang w:eastAsia="hr-HR"/>
              </w:rPr>
              <w:t>6.</w:t>
            </w:r>
            <w:r w:rsidRPr="0091228A">
              <w:rPr>
                <w:rFonts w:eastAsia="Times New Roman" w:cstheme="minorHAnsi"/>
                <w:bCs/>
                <w:lang w:eastAsia="hr-HR"/>
              </w:rPr>
              <w:t>1. Povećanje dostupnosti i kvalitete usluga u sustavu zdravstvene skrbi</w:t>
            </w:r>
          </w:p>
          <w:p w14:paraId="28CA5B4D" w14:textId="77777777" w:rsidR="00863DA2" w:rsidRPr="0091228A" w:rsidRDefault="00863DA2" w:rsidP="005000C9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5000C9" w:rsidRPr="0091228A">
              <w:rPr>
                <w:rFonts w:cstheme="minorHAnsi"/>
                <w:bCs/>
              </w:rPr>
              <w:t>6</w:t>
            </w:r>
            <w:r w:rsidRPr="0091228A">
              <w:rPr>
                <w:rFonts w:cstheme="minorHAnsi"/>
                <w:bCs/>
              </w:rPr>
              <w:t>.2. Povećanje dostupnosti i kvalitete usluga u sustavu socijalne skrbi</w:t>
            </w:r>
          </w:p>
        </w:tc>
      </w:tr>
    </w:tbl>
    <w:p w14:paraId="5B768DBD" w14:textId="77777777" w:rsidR="000A2404" w:rsidRPr="0091228A" w:rsidRDefault="000A2404" w:rsidP="00810B33">
      <w:pPr>
        <w:jc w:val="both"/>
        <w:rPr>
          <w:rFonts w:eastAsia="Times New Roman" w:cstheme="minorHAnsi"/>
          <w:b/>
          <w:bCs/>
          <w:lang w:eastAsia="hr-HR"/>
        </w:rPr>
      </w:pPr>
    </w:p>
    <w:p w14:paraId="1E5D7617" w14:textId="77777777" w:rsidR="000A2404" w:rsidRPr="0091228A" w:rsidRDefault="000A2404" w:rsidP="00810B33">
      <w:pPr>
        <w:jc w:val="both"/>
        <w:rPr>
          <w:rFonts w:eastAsia="Times New Roman" w:cstheme="minorHAnsi"/>
          <w:b/>
          <w:bCs/>
          <w:lang w:eastAsia="hr-HR"/>
        </w:rPr>
      </w:pPr>
    </w:p>
    <w:p w14:paraId="17426422" w14:textId="6E2862A6" w:rsidR="00810B33" w:rsidRPr="0091228A" w:rsidRDefault="00810B33" w:rsidP="00810B33">
      <w:pPr>
        <w:jc w:val="both"/>
        <w:rPr>
          <w:rFonts w:eastAsia="Times New Roman" w:cstheme="minorHAnsi"/>
          <w:b/>
          <w:bCs/>
          <w:lang w:eastAsia="hr-HR"/>
        </w:rPr>
      </w:pPr>
      <w:r w:rsidRPr="0091228A">
        <w:rPr>
          <w:rFonts w:eastAsia="Times New Roman" w:cstheme="minorHAnsi"/>
          <w:b/>
          <w:bCs/>
          <w:lang w:eastAsia="hr-HR"/>
        </w:rPr>
        <w:t xml:space="preserve">Posebni cilj </w:t>
      </w:r>
      <w:r w:rsidR="005000C9" w:rsidRPr="0091228A">
        <w:rPr>
          <w:rFonts w:eastAsia="Times New Roman" w:cstheme="minorHAnsi"/>
          <w:b/>
          <w:bCs/>
          <w:lang w:eastAsia="hr-HR"/>
        </w:rPr>
        <w:t>7</w:t>
      </w:r>
      <w:r w:rsidRPr="0091228A">
        <w:rPr>
          <w:rFonts w:eastAsia="Times New Roman" w:cstheme="minorHAnsi"/>
          <w:b/>
          <w:bCs/>
          <w:lang w:eastAsia="hr-HR"/>
        </w:rPr>
        <w:t>. Ulaganja u kulturu</w:t>
      </w:r>
    </w:p>
    <w:p w14:paraId="787A7105" w14:textId="3B05EC1D" w:rsidR="00810B33" w:rsidRPr="0091228A" w:rsidRDefault="000A2404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>Ov</w:t>
      </w:r>
      <w:r w:rsidR="00EC0DF0" w:rsidRPr="0091228A">
        <w:rPr>
          <w:rFonts w:eastAsia="Times New Roman" w:cstheme="minorHAnsi"/>
          <w:lang w:eastAsia="hr-HR"/>
        </w:rPr>
        <w:t>aj je p</w:t>
      </w:r>
      <w:r w:rsidR="00810B33" w:rsidRPr="0091228A">
        <w:rPr>
          <w:rFonts w:eastAsia="Times New Roman" w:cstheme="minorHAnsi"/>
          <w:lang w:eastAsia="hr-HR"/>
        </w:rPr>
        <w:t>osebni cilj usmjeren na očuvanje i daljnje osnaživanje bogate materijalne i nematerijalne kulturne baštine Brodsko-posavske županije putem ulaganja u poboljšanje infrastrukture u kulturi te podržavanj</w:t>
      </w:r>
      <w:r w:rsidR="00EC0DF0" w:rsidRPr="0091228A">
        <w:rPr>
          <w:rFonts w:eastAsia="Times New Roman" w:cstheme="minorHAnsi"/>
          <w:lang w:eastAsia="hr-HR"/>
        </w:rPr>
        <w:t>a</w:t>
      </w:r>
      <w:r w:rsidR="00810B33" w:rsidRPr="0091228A">
        <w:rPr>
          <w:rFonts w:eastAsia="Times New Roman" w:cstheme="minorHAnsi"/>
          <w:lang w:eastAsia="hr-HR"/>
        </w:rPr>
        <w:t xml:space="preserve">  i daljnje</w:t>
      </w:r>
      <w:r w:rsidR="00EC0DF0" w:rsidRPr="0091228A">
        <w:rPr>
          <w:rFonts w:eastAsia="Times New Roman" w:cstheme="minorHAnsi"/>
          <w:lang w:eastAsia="hr-HR"/>
        </w:rPr>
        <w:t>g</w:t>
      </w:r>
      <w:r w:rsidR="00810B33" w:rsidRPr="0091228A">
        <w:rPr>
          <w:rFonts w:eastAsia="Times New Roman" w:cstheme="minorHAnsi"/>
          <w:lang w:eastAsia="hr-HR"/>
        </w:rPr>
        <w:t xml:space="preserve"> osnaživanj</w:t>
      </w:r>
      <w:r w:rsidR="00EC0DF0" w:rsidRPr="0091228A">
        <w:rPr>
          <w:rFonts w:eastAsia="Times New Roman" w:cstheme="minorHAnsi"/>
          <w:lang w:eastAsia="hr-HR"/>
        </w:rPr>
        <w:t>a</w:t>
      </w:r>
      <w:r w:rsidR="00810B33" w:rsidRPr="0091228A">
        <w:rPr>
          <w:rFonts w:eastAsia="Times New Roman" w:cstheme="minorHAnsi"/>
          <w:lang w:eastAsia="hr-HR"/>
        </w:rPr>
        <w:t xml:space="preserve">  kulturno umjetničkih programa i rada kulturnih društava.</w:t>
      </w:r>
    </w:p>
    <w:p w14:paraId="44E87853" w14:textId="49D39D19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>Značajan i nedovoljno iskorišten razvojni potencijal na području BPŽ</w:t>
      </w:r>
      <w:r w:rsidR="005A7DF6">
        <w:rPr>
          <w:rFonts w:eastAsia="Times New Roman" w:cstheme="minorHAnsi"/>
          <w:lang w:eastAsia="hr-HR"/>
        </w:rPr>
        <w:t>-a</w:t>
      </w:r>
      <w:r w:rsidRPr="0091228A">
        <w:rPr>
          <w:rFonts w:eastAsia="Times New Roman" w:cstheme="minorHAnsi"/>
          <w:lang w:eastAsia="hr-HR"/>
        </w:rPr>
        <w:t xml:space="preserve"> su mogućnosti gospodarskog korištenja kulturne baštine te razvoj kulturnih i kreativnih industrija, a što je od posebnog značaja za  </w:t>
      </w:r>
      <w:r w:rsidRPr="0091228A">
        <w:rPr>
          <w:rFonts w:eastAsia="Times New Roman" w:cstheme="minorHAnsi"/>
          <w:lang w:eastAsia="hr-HR"/>
        </w:rPr>
        <w:lastRenderedPageBreak/>
        <w:t xml:space="preserve">zapošljavanje mladih te za razvoj kulturnog turizma. Također, postoje mogućnosti za intenziviranje  korištenja programa i fondova </w:t>
      </w:r>
      <w:r w:rsidR="005A7DF6">
        <w:rPr>
          <w:rFonts w:eastAsia="Times New Roman" w:cstheme="minorHAnsi"/>
          <w:lang w:eastAsia="hr-HR"/>
        </w:rPr>
        <w:t xml:space="preserve">EU-a </w:t>
      </w:r>
      <w:r w:rsidRPr="0091228A">
        <w:rPr>
          <w:rFonts w:eastAsia="Times New Roman" w:cstheme="minorHAnsi"/>
          <w:lang w:eastAsia="hr-HR"/>
        </w:rPr>
        <w:t xml:space="preserve">za razvoj kulture i održivo gospodarsko korištenje kulturne baštine. </w:t>
      </w:r>
    </w:p>
    <w:p w14:paraId="7A1C9F00" w14:textId="73088A9F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>Ukupni financijski okvir za provedb</w:t>
      </w:r>
      <w:r w:rsidR="005A7DF6">
        <w:rPr>
          <w:rFonts w:eastAsia="Times New Roman" w:cstheme="minorHAnsi"/>
          <w:lang w:eastAsia="hr-HR"/>
        </w:rPr>
        <w:t>u</w:t>
      </w:r>
      <w:r w:rsidRPr="0091228A">
        <w:rPr>
          <w:rFonts w:eastAsia="Times New Roman" w:cstheme="minorHAnsi"/>
          <w:lang w:eastAsia="hr-HR"/>
        </w:rPr>
        <w:t xml:space="preserve"> </w:t>
      </w:r>
      <w:r w:rsidR="00EC0DF0" w:rsidRPr="0091228A">
        <w:rPr>
          <w:rFonts w:eastAsia="Times New Roman" w:cstheme="minorHAnsi"/>
          <w:lang w:eastAsia="hr-HR"/>
        </w:rPr>
        <w:t>o</w:t>
      </w:r>
      <w:r w:rsidRPr="0091228A">
        <w:rPr>
          <w:rFonts w:eastAsia="Times New Roman" w:cstheme="minorHAnsi"/>
          <w:lang w:eastAsia="hr-HR"/>
        </w:rPr>
        <w:t xml:space="preserve">vog posebnog cilja je </w:t>
      </w:r>
      <w:r w:rsidR="00256E48" w:rsidRPr="009820F7">
        <w:rPr>
          <w:rFonts w:eastAsia="Times New Roman" w:cstheme="minorHAnsi"/>
          <w:lang w:eastAsia="hr-HR"/>
        </w:rPr>
        <w:t>199.312.381,05 kn</w:t>
      </w:r>
      <w:r w:rsidRPr="0091228A">
        <w:rPr>
          <w:rFonts w:eastAsia="Times New Roman" w:cstheme="minorHAnsi"/>
          <w:lang w:eastAsia="hr-HR"/>
        </w:rPr>
        <w:t>.</w:t>
      </w:r>
    </w:p>
    <w:p w14:paraId="18660E5B" w14:textId="77777777" w:rsidR="00CA6021" w:rsidRPr="0091228A" w:rsidRDefault="00CA6021" w:rsidP="00810B33">
      <w:pPr>
        <w:jc w:val="both"/>
        <w:rPr>
          <w:rFonts w:eastAsia="Times New Roman" w:cstheme="minorHAnsi"/>
          <w:lang w:eastAsia="hr-HR"/>
        </w:rPr>
      </w:pPr>
    </w:p>
    <w:p w14:paraId="7C8777A4" w14:textId="77777777" w:rsidR="00810B33" w:rsidRPr="0091228A" w:rsidRDefault="00810B33" w:rsidP="00810B33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  <w:i/>
          <w:iCs/>
          <w:u w:val="single"/>
        </w:rPr>
        <w:t>Pokazatelji ishoda za posebni cilj:</w:t>
      </w:r>
    </w:p>
    <w:p w14:paraId="7405CD34" w14:textId="77777777" w:rsidR="00810B33" w:rsidRPr="0091228A" w:rsidRDefault="00810B33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>OI.02.8.26 Udio zaposlenih u kulturnim djelatnostima u ukupnom broju zaposlenih</w:t>
      </w:r>
    </w:p>
    <w:p w14:paraId="458B28B8" w14:textId="77777777" w:rsidR="00CA6021" w:rsidRPr="0091228A" w:rsidRDefault="00CA6021" w:rsidP="00EC0DF0">
      <w:pPr>
        <w:jc w:val="both"/>
        <w:rPr>
          <w:rFonts w:cstheme="minorHAnsi"/>
        </w:rPr>
      </w:pPr>
    </w:p>
    <w:p w14:paraId="31FB431C" w14:textId="3ACE384E" w:rsidR="00EC0DF0" w:rsidRPr="0091228A" w:rsidRDefault="00EC0DF0" w:rsidP="00EC0DF0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</w:rPr>
        <w:t xml:space="preserve">Mjere pomoću kojih će se realizirati posebni cilj su sljedeće: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63DA2" w:rsidRPr="0091228A" w14:paraId="2B806FB8" w14:textId="77777777" w:rsidTr="00A55D84">
        <w:trPr>
          <w:trHeight w:val="884"/>
        </w:trPr>
        <w:tc>
          <w:tcPr>
            <w:tcW w:w="2263" w:type="dxa"/>
            <w:vAlign w:val="center"/>
          </w:tcPr>
          <w:p w14:paraId="09FBA4E7" w14:textId="77777777" w:rsidR="00863DA2" w:rsidRPr="0091228A" w:rsidRDefault="00863DA2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</w:rPr>
              <w:t xml:space="preserve">Posebni cilj </w:t>
            </w:r>
            <w:r w:rsidR="005000C9" w:rsidRPr="0091228A">
              <w:rPr>
                <w:rFonts w:cstheme="minorHAnsi"/>
                <w:b/>
              </w:rPr>
              <w:t>7</w:t>
            </w:r>
            <w:r w:rsidRPr="0091228A">
              <w:rPr>
                <w:rFonts w:cstheme="minorHAnsi"/>
                <w:b/>
              </w:rPr>
              <w:t xml:space="preserve">. </w:t>
            </w:r>
          </w:p>
          <w:p w14:paraId="15F1F787" w14:textId="77777777" w:rsidR="00863DA2" w:rsidRPr="0091228A" w:rsidRDefault="00863DA2" w:rsidP="007510FD">
            <w:pPr>
              <w:rPr>
                <w:rFonts w:cstheme="minorHAnsi"/>
                <w:color w:val="FF0000"/>
              </w:rPr>
            </w:pPr>
            <w:r w:rsidRPr="0091228A">
              <w:rPr>
                <w:rFonts w:eastAsia="Times New Roman" w:cstheme="minorHAnsi"/>
                <w:b/>
                <w:bCs/>
                <w:lang w:eastAsia="hr-HR"/>
              </w:rPr>
              <w:t>Ulaganja u kulturu</w:t>
            </w:r>
          </w:p>
        </w:tc>
        <w:tc>
          <w:tcPr>
            <w:tcW w:w="6799" w:type="dxa"/>
          </w:tcPr>
          <w:p w14:paraId="7EB1C610" w14:textId="77777777" w:rsidR="00863DA2" w:rsidRPr="0091228A" w:rsidRDefault="00863DA2" w:rsidP="007510FD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5000C9" w:rsidRPr="0091228A">
              <w:rPr>
                <w:rFonts w:cstheme="minorHAnsi"/>
                <w:bCs/>
              </w:rPr>
              <w:t>7</w:t>
            </w:r>
            <w:r w:rsidRPr="0091228A">
              <w:rPr>
                <w:rFonts w:cstheme="minorHAnsi"/>
                <w:bCs/>
              </w:rPr>
              <w:t xml:space="preserve">.1. Poticanje ulaganja u infrastrukturu u kulturi </w:t>
            </w:r>
          </w:p>
          <w:p w14:paraId="050853B8" w14:textId="77777777" w:rsidR="00863DA2" w:rsidRPr="0091228A" w:rsidRDefault="00863DA2" w:rsidP="005000C9">
            <w:pPr>
              <w:spacing w:before="100" w:beforeAutospacing="1" w:after="100" w:afterAutospacing="1"/>
              <w:rPr>
                <w:rFonts w:cstheme="minorHAnsi"/>
                <w:bCs/>
              </w:rPr>
            </w:pPr>
            <w:r w:rsidRPr="0091228A">
              <w:rPr>
                <w:rFonts w:eastAsia="Times New Roman" w:cstheme="minorHAnsi"/>
                <w:bCs/>
                <w:lang w:eastAsia="hr-HR"/>
              </w:rPr>
              <w:t xml:space="preserve">Mjera </w:t>
            </w:r>
            <w:r w:rsidR="005000C9" w:rsidRPr="0091228A">
              <w:rPr>
                <w:rFonts w:eastAsia="Times New Roman" w:cstheme="minorHAnsi"/>
                <w:bCs/>
                <w:lang w:eastAsia="hr-HR"/>
              </w:rPr>
              <w:t>7</w:t>
            </w:r>
            <w:r w:rsidRPr="0091228A">
              <w:rPr>
                <w:rFonts w:eastAsia="Times New Roman" w:cstheme="minorHAnsi"/>
                <w:bCs/>
                <w:lang w:eastAsia="hr-HR"/>
              </w:rPr>
              <w:t xml:space="preserve">.2. Podrška kulturno umjetničkim programima i radu kulturnih društava </w:t>
            </w:r>
          </w:p>
        </w:tc>
      </w:tr>
    </w:tbl>
    <w:p w14:paraId="10DDD065" w14:textId="77777777" w:rsidR="000A2404" w:rsidRPr="0091228A" w:rsidRDefault="000A2404" w:rsidP="00810B33">
      <w:pPr>
        <w:rPr>
          <w:rFonts w:cstheme="minorHAnsi"/>
          <w:b/>
          <w:bCs/>
        </w:rPr>
      </w:pPr>
    </w:p>
    <w:p w14:paraId="4883BC15" w14:textId="77777777" w:rsidR="000A2404" w:rsidRPr="0091228A" w:rsidRDefault="000A2404" w:rsidP="00810B33">
      <w:pPr>
        <w:rPr>
          <w:rFonts w:cstheme="minorHAnsi"/>
          <w:b/>
          <w:bCs/>
        </w:rPr>
      </w:pPr>
    </w:p>
    <w:p w14:paraId="613774C3" w14:textId="28907275" w:rsidR="00810B33" w:rsidRPr="0091228A" w:rsidRDefault="00810B33" w:rsidP="00810B33">
      <w:pPr>
        <w:rPr>
          <w:rFonts w:cstheme="minorHAnsi"/>
          <w:b/>
          <w:bCs/>
        </w:rPr>
      </w:pPr>
      <w:r w:rsidRPr="0091228A">
        <w:rPr>
          <w:rFonts w:cstheme="minorHAnsi"/>
          <w:b/>
          <w:bCs/>
        </w:rPr>
        <w:t xml:space="preserve">Posebni cilj </w:t>
      </w:r>
      <w:r w:rsidR="005000C9" w:rsidRPr="0091228A">
        <w:rPr>
          <w:rFonts w:cstheme="minorHAnsi"/>
          <w:b/>
          <w:bCs/>
        </w:rPr>
        <w:t>8</w:t>
      </w:r>
      <w:r w:rsidRPr="0091228A">
        <w:rPr>
          <w:rFonts w:cstheme="minorHAnsi"/>
          <w:b/>
          <w:bCs/>
        </w:rPr>
        <w:t>. Razvoj klasičnih grana gospodarstva korištenjem zelene i digitalne tranzicije</w:t>
      </w:r>
    </w:p>
    <w:p w14:paraId="0E5428D2" w14:textId="1452DD3C" w:rsidR="00810B33" w:rsidRPr="0091228A" w:rsidRDefault="00231110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>Osmi po redu</w:t>
      </w:r>
      <w:r w:rsidR="005900C8">
        <w:rPr>
          <w:rFonts w:cstheme="minorHAnsi"/>
        </w:rPr>
        <w:t>,</w:t>
      </w:r>
      <w:r w:rsidRPr="0091228A">
        <w:rPr>
          <w:rFonts w:cstheme="minorHAnsi"/>
        </w:rPr>
        <w:t xml:space="preserve"> p</w:t>
      </w:r>
      <w:r w:rsidR="00810B33" w:rsidRPr="0091228A">
        <w:rPr>
          <w:rFonts w:cstheme="minorHAnsi"/>
        </w:rPr>
        <w:t xml:space="preserve">osebni cilj osigurava uvođenje održivog, zelenog i digitalnog poslovanja u sve </w:t>
      </w:r>
      <w:r w:rsidRPr="0091228A">
        <w:rPr>
          <w:rFonts w:cstheme="minorHAnsi"/>
        </w:rPr>
        <w:t xml:space="preserve">tradicionalne </w:t>
      </w:r>
      <w:r w:rsidR="00810B33" w:rsidRPr="0091228A">
        <w:rPr>
          <w:rFonts w:cstheme="minorHAnsi"/>
        </w:rPr>
        <w:t xml:space="preserve"> grane gospodarstva putem privlačenja investicija i promocije Brodsko-posavske županije kao privlačne destinacije za gospodarske subjekte,</w:t>
      </w:r>
      <w:r w:rsidRPr="0091228A">
        <w:rPr>
          <w:rFonts w:cstheme="minorHAnsi"/>
        </w:rPr>
        <w:t xml:space="preserve"> </w:t>
      </w:r>
      <w:r w:rsidR="00810B33" w:rsidRPr="0091228A">
        <w:rPr>
          <w:rFonts w:cstheme="minorHAnsi"/>
        </w:rPr>
        <w:t>poticanj</w:t>
      </w:r>
      <w:r w:rsidRPr="0091228A">
        <w:rPr>
          <w:rFonts w:cstheme="minorHAnsi"/>
        </w:rPr>
        <w:t>e</w:t>
      </w:r>
      <w:r w:rsidR="00810B33" w:rsidRPr="0091228A">
        <w:rPr>
          <w:rFonts w:cstheme="minorHAnsi"/>
        </w:rPr>
        <w:t xml:space="preserve"> informatizacije i digitalizacije poslovanja te poticanj</w:t>
      </w:r>
      <w:r w:rsidRPr="0091228A">
        <w:rPr>
          <w:rFonts w:cstheme="minorHAnsi"/>
        </w:rPr>
        <w:t>e</w:t>
      </w:r>
      <w:r w:rsidR="00810B33" w:rsidRPr="0091228A">
        <w:rPr>
          <w:rFonts w:cstheme="minorHAnsi"/>
        </w:rPr>
        <w:t xml:space="preserve"> društveno odgovornog poslovanja.</w:t>
      </w:r>
    </w:p>
    <w:p w14:paraId="1550B516" w14:textId="41E2C001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cstheme="minorHAnsi"/>
        </w:rPr>
        <w:t>Zelena</w:t>
      </w:r>
      <w:r w:rsidR="000A2404" w:rsidRPr="0091228A">
        <w:rPr>
          <w:rFonts w:cstheme="minorHAnsi"/>
        </w:rPr>
        <w:t xml:space="preserve"> </w:t>
      </w:r>
      <w:r w:rsidRPr="0091228A">
        <w:rPr>
          <w:rFonts w:cstheme="minorHAnsi"/>
        </w:rPr>
        <w:t xml:space="preserve">i digitalna tranzicija predstavljaju budućnost poslovanja koja će se ostvariti prelaskom na čistu energiju, poticanjem zelenih i plavih ulaganja, dekarbonizacijom zgrada, razvojem kružnog gospodarstva, jačanjem samodostatnosti u proizvodnji hrane, </w:t>
      </w:r>
      <w:r w:rsidRPr="00C5234C">
        <w:rPr>
          <w:rFonts w:cstheme="minorHAnsi"/>
        </w:rPr>
        <w:t>razvojem bio</w:t>
      </w:r>
      <w:r w:rsidR="00B20915" w:rsidRPr="00C5234C">
        <w:rPr>
          <w:rFonts w:cstheme="minorHAnsi"/>
        </w:rPr>
        <w:t xml:space="preserve">ekonomije </w:t>
      </w:r>
      <w:r w:rsidRPr="0091228A">
        <w:rPr>
          <w:rFonts w:cstheme="minorHAnsi"/>
        </w:rPr>
        <w:t>te očuvanjem i obnovom ekosustava i bioraznolikosti.</w:t>
      </w:r>
      <w:r w:rsidR="00DF45F5">
        <w:rPr>
          <w:rFonts w:cstheme="minorHAnsi"/>
        </w:rPr>
        <w:t xml:space="preserve"> </w:t>
      </w:r>
      <w:r w:rsidR="004D52EE" w:rsidRPr="0091228A">
        <w:rPr>
          <w:rFonts w:cstheme="minorHAnsi"/>
        </w:rPr>
        <w:t xml:space="preserve">Cilj će  se ostvariti provedbom mjera kojima se potiče zelena i digitalna tranzicija. </w:t>
      </w:r>
      <w:r w:rsidRPr="0091228A">
        <w:rPr>
          <w:rFonts w:eastAsia="Times New Roman" w:cstheme="minorHAnsi"/>
          <w:lang w:eastAsia="hr-HR"/>
        </w:rPr>
        <w:t>Ukupni financijski okvir za provedb</w:t>
      </w:r>
      <w:r w:rsidR="00DF45F5">
        <w:rPr>
          <w:rFonts w:eastAsia="Times New Roman" w:cstheme="minorHAnsi"/>
          <w:lang w:eastAsia="hr-HR"/>
        </w:rPr>
        <w:t>u</w:t>
      </w:r>
      <w:r w:rsidRPr="0091228A">
        <w:rPr>
          <w:rFonts w:eastAsia="Times New Roman" w:cstheme="minorHAnsi"/>
          <w:lang w:eastAsia="hr-HR"/>
        </w:rPr>
        <w:t xml:space="preserve"> ovog posebnog cilja </w:t>
      </w:r>
      <w:r w:rsidRPr="006E0352">
        <w:rPr>
          <w:rFonts w:eastAsia="Times New Roman" w:cstheme="minorHAnsi"/>
          <w:lang w:eastAsia="hr-HR"/>
        </w:rPr>
        <w:t xml:space="preserve">je </w:t>
      </w:r>
      <w:r w:rsidR="00256E48" w:rsidRPr="009820F7">
        <w:rPr>
          <w:rFonts w:eastAsia="Times New Roman" w:cstheme="minorHAnsi"/>
          <w:lang w:eastAsia="hr-HR"/>
        </w:rPr>
        <w:t>62.507.375,00 kn</w:t>
      </w:r>
      <w:r w:rsidR="00256E48">
        <w:rPr>
          <w:rFonts w:eastAsia="Times New Roman" w:cstheme="minorHAnsi"/>
          <w:lang w:eastAsia="hr-HR"/>
        </w:rPr>
        <w:t>.</w:t>
      </w:r>
    </w:p>
    <w:p w14:paraId="543FC497" w14:textId="77777777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</w:p>
    <w:p w14:paraId="2D65A627" w14:textId="77777777" w:rsidR="00810B33" w:rsidRPr="0091228A" w:rsidRDefault="00810B33" w:rsidP="00810B33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  <w:i/>
          <w:iCs/>
          <w:u w:val="single"/>
        </w:rPr>
        <w:t>Pokazatelji ishoda za posebni cilj:</w:t>
      </w:r>
    </w:p>
    <w:p w14:paraId="2FA40315" w14:textId="3700B0F3" w:rsidR="00810B33" w:rsidRPr="0091228A" w:rsidRDefault="00AD26E0" w:rsidP="00810B33">
      <w:pPr>
        <w:jc w:val="both"/>
        <w:rPr>
          <w:rFonts w:cstheme="minorHAnsi"/>
        </w:rPr>
      </w:pPr>
      <w:r>
        <w:rPr>
          <w:rFonts w:cstheme="minorHAnsi"/>
        </w:rPr>
        <w:t>O</w:t>
      </w:r>
      <w:r w:rsidR="00810B33" w:rsidRPr="0091228A">
        <w:rPr>
          <w:rFonts w:cstheme="minorHAnsi"/>
        </w:rPr>
        <w:t>I.02.7.15 Poduzeća koja zapošljavaju I</w:t>
      </w:r>
      <w:r w:rsidR="00DF45F5">
        <w:rPr>
          <w:rFonts w:cstheme="minorHAnsi"/>
        </w:rPr>
        <w:t>K</w:t>
      </w:r>
      <w:r w:rsidR="00810B33" w:rsidRPr="0091228A">
        <w:rPr>
          <w:rFonts w:cstheme="minorHAnsi"/>
        </w:rPr>
        <w:t>T stručnjake</w:t>
      </w:r>
    </w:p>
    <w:p w14:paraId="4216F919" w14:textId="77777777" w:rsidR="00810B33" w:rsidRPr="0091228A" w:rsidRDefault="00810B33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>OI.02.4.22 Udio inovativnih poduzeća koja su uvela inovacije za dobrobit okoliša</w:t>
      </w:r>
    </w:p>
    <w:p w14:paraId="2732D48D" w14:textId="77777777" w:rsidR="00CA6021" w:rsidRPr="0091228A" w:rsidRDefault="00CA6021" w:rsidP="00231110">
      <w:pPr>
        <w:jc w:val="both"/>
        <w:rPr>
          <w:rFonts w:cstheme="minorHAnsi"/>
        </w:rPr>
      </w:pPr>
    </w:p>
    <w:p w14:paraId="46814AAB" w14:textId="096924D8" w:rsidR="00231110" w:rsidRPr="0091228A" w:rsidRDefault="00231110" w:rsidP="00231110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</w:rPr>
        <w:t xml:space="preserve">Mjere pomoću kojih će se realizirati posebni cilj su sljedeće: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63DA2" w:rsidRPr="0091228A" w14:paraId="02FD4526" w14:textId="77777777" w:rsidTr="000A2404">
        <w:trPr>
          <w:trHeight w:val="1265"/>
        </w:trPr>
        <w:tc>
          <w:tcPr>
            <w:tcW w:w="2263" w:type="dxa"/>
            <w:vAlign w:val="center"/>
          </w:tcPr>
          <w:p w14:paraId="423B9C76" w14:textId="77777777" w:rsidR="00863DA2" w:rsidRPr="0091228A" w:rsidRDefault="00863DA2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</w:rPr>
              <w:t>Posebni cilj</w:t>
            </w:r>
            <w:r w:rsidR="005000C9" w:rsidRPr="0091228A">
              <w:rPr>
                <w:rFonts w:cstheme="minorHAnsi"/>
                <w:b/>
              </w:rPr>
              <w:t xml:space="preserve"> 8</w:t>
            </w:r>
            <w:r w:rsidRPr="0091228A">
              <w:rPr>
                <w:rFonts w:cstheme="minorHAnsi"/>
                <w:b/>
              </w:rPr>
              <w:t xml:space="preserve">. </w:t>
            </w:r>
          </w:p>
          <w:p w14:paraId="03EE2606" w14:textId="77777777" w:rsidR="00863DA2" w:rsidRPr="0091228A" w:rsidRDefault="00863DA2" w:rsidP="007510FD">
            <w:pPr>
              <w:rPr>
                <w:rFonts w:cstheme="minorHAnsi"/>
              </w:rPr>
            </w:pPr>
            <w:r w:rsidRPr="0091228A">
              <w:rPr>
                <w:rFonts w:cstheme="minorHAnsi"/>
                <w:b/>
                <w:bCs/>
              </w:rPr>
              <w:t>Razvoj klasičnih grana gospodarstva korištenjem zelene i digitalne tranzicije</w:t>
            </w:r>
          </w:p>
        </w:tc>
        <w:tc>
          <w:tcPr>
            <w:tcW w:w="6799" w:type="dxa"/>
          </w:tcPr>
          <w:p w14:paraId="62356EC6" w14:textId="7D33D297" w:rsidR="00863DA2" w:rsidRPr="0091228A" w:rsidRDefault="00863DA2" w:rsidP="007510FD">
            <w:pPr>
              <w:jc w:val="both"/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5000C9" w:rsidRPr="0091228A">
              <w:rPr>
                <w:rFonts w:cstheme="minorHAnsi"/>
                <w:bCs/>
              </w:rPr>
              <w:t>8</w:t>
            </w:r>
            <w:r w:rsidRPr="0091228A">
              <w:rPr>
                <w:rFonts w:cstheme="minorHAnsi"/>
                <w:bCs/>
              </w:rPr>
              <w:t>.1. Privlačenje investicija i promocija BPŽ</w:t>
            </w:r>
            <w:r w:rsidR="00DF45F5">
              <w:rPr>
                <w:rFonts w:cstheme="minorHAnsi"/>
                <w:bCs/>
              </w:rPr>
              <w:t>-</w:t>
            </w:r>
            <w:r w:rsidRPr="0091228A">
              <w:rPr>
                <w:rFonts w:cstheme="minorHAnsi"/>
                <w:bCs/>
              </w:rPr>
              <w:t xml:space="preserve"> kao privlačne destinacije za gospodarske subjekte </w:t>
            </w:r>
          </w:p>
          <w:p w14:paraId="36E77D6B" w14:textId="77777777" w:rsidR="00863DA2" w:rsidRPr="0091228A" w:rsidRDefault="005000C9" w:rsidP="007510F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91228A">
              <w:rPr>
                <w:rFonts w:eastAsia="Times New Roman" w:cstheme="minorHAnsi"/>
                <w:bCs/>
                <w:lang w:eastAsia="hr-HR"/>
              </w:rPr>
              <w:t>Mjera 8.</w:t>
            </w:r>
            <w:r w:rsidR="00863DA2" w:rsidRPr="0091228A">
              <w:rPr>
                <w:rFonts w:eastAsia="Times New Roman" w:cstheme="minorHAnsi"/>
                <w:bCs/>
                <w:lang w:eastAsia="hr-HR"/>
              </w:rPr>
              <w:t>2. Poticanje informatizacije i digitalizacije poslovanja</w:t>
            </w:r>
          </w:p>
          <w:p w14:paraId="69C34364" w14:textId="77777777" w:rsidR="00863DA2" w:rsidRPr="0091228A" w:rsidRDefault="00863DA2" w:rsidP="005000C9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>Mjera</w:t>
            </w:r>
            <w:r w:rsidR="005000C9" w:rsidRPr="0091228A">
              <w:rPr>
                <w:rFonts w:cstheme="minorHAnsi"/>
                <w:bCs/>
              </w:rPr>
              <w:t xml:space="preserve"> 8</w:t>
            </w:r>
            <w:r w:rsidRPr="0091228A">
              <w:rPr>
                <w:rFonts w:cstheme="minorHAnsi"/>
                <w:bCs/>
              </w:rPr>
              <w:t>.3. Poticanje društveno odgovornog poslovanja</w:t>
            </w:r>
          </w:p>
        </w:tc>
      </w:tr>
    </w:tbl>
    <w:p w14:paraId="495272E9" w14:textId="469BFF34" w:rsidR="00810B33" w:rsidRDefault="00810B33" w:rsidP="00810B33">
      <w:pPr>
        <w:jc w:val="both"/>
        <w:rPr>
          <w:rFonts w:eastAsia="Times New Roman" w:cstheme="minorHAnsi"/>
          <w:lang w:eastAsia="hr-HR"/>
        </w:rPr>
      </w:pPr>
    </w:p>
    <w:p w14:paraId="7B0F1FA6" w14:textId="77777777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</w:p>
    <w:p w14:paraId="63DC41A1" w14:textId="77777777" w:rsidR="00502EED" w:rsidRDefault="00502EED" w:rsidP="00810B33">
      <w:pPr>
        <w:rPr>
          <w:rFonts w:cstheme="minorHAnsi"/>
          <w:b/>
          <w:bCs/>
        </w:rPr>
      </w:pPr>
    </w:p>
    <w:p w14:paraId="7C616BB4" w14:textId="77777777" w:rsidR="00502EED" w:rsidRDefault="00502EED" w:rsidP="00810B33">
      <w:pPr>
        <w:rPr>
          <w:rFonts w:cstheme="minorHAnsi"/>
          <w:b/>
          <w:bCs/>
        </w:rPr>
      </w:pPr>
    </w:p>
    <w:p w14:paraId="508E3760" w14:textId="77777777" w:rsidR="00502EED" w:rsidRDefault="00502EED" w:rsidP="00810B33">
      <w:pPr>
        <w:rPr>
          <w:rFonts w:cstheme="minorHAnsi"/>
          <w:b/>
          <w:bCs/>
        </w:rPr>
      </w:pPr>
    </w:p>
    <w:p w14:paraId="49C2B06A" w14:textId="77777777" w:rsidR="00502EED" w:rsidRDefault="00502EED" w:rsidP="00810B33">
      <w:pPr>
        <w:rPr>
          <w:rFonts w:cstheme="minorHAnsi"/>
          <w:b/>
          <w:bCs/>
        </w:rPr>
      </w:pPr>
    </w:p>
    <w:p w14:paraId="0E3E0D55" w14:textId="7AEF4F50" w:rsidR="00810B33" w:rsidRPr="0091228A" w:rsidRDefault="00810B33" w:rsidP="00810B33">
      <w:pPr>
        <w:rPr>
          <w:rFonts w:cstheme="minorHAnsi"/>
          <w:b/>
          <w:bCs/>
        </w:rPr>
      </w:pPr>
      <w:r w:rsidRPr="0091228A">
        <w:rPr>
          <w:rFonts w:cstheme="minorHAnsi"/>
          <w:b/>
          <w:bCs/>
        </w:rPr>
        <w:t xml:space="preserve">Posebni cilj </w:t>
      </w:r>
      <w:r w:rsidR="005000C9" w:rsidRPr="0091228A">
        <w:rPr>
          <w:rFonts w:cstheme="minorHAnsi"/>
          <w:b/>
          <w:bCs/>
        </w:rPr>
        <w:t>9</w:t>
      </w:r>
      <w:r w:rsidRPr="0091228A">
        <w:rPr>
          <w:rFonts w:cstheme="minorHAnsi"/>
          <w:b/>
          <w:bCs/>
        </w:rPr>
        <w:t xml:space="preserve">. Razvoj </w:t>
      </w:r>
      <w:r w:rsidRPr="006E0352">
        <w:rPr>
          <w:rFonts w:cstheme="minorHAnsi"/>
          <w:b/>
          <w:bCs/>
        </w:rPr>
        <w:t>bio</w:t>
      </w:r>
      <w:r w:rsidR="00B20915" w:rsidRPr="006E0352">
        <w:rPr>
          <w:rFonts w:cstheme="minorHAnsi"/>
          <w:b/>
          <w:bCs/>
        </w:rPr>
        <w:t>ekonomije</w:t>
      </w:r>
    </w:p>
    <w:p w14:paraId="6B6BD82D" w14:textId="21B72473" w:rsidR="00810B33" w:rsidRPr="0091228A" w:rsidRDefault="00231110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Ovim se posebnim ciljem potiču </w:t>
      </w:r>
      <w:r w:rsidR="00810B33" w:rsidRPr="0091228A">
        <w:rPr>
          <w:rFonts w:cstheme="minorHAnsi"/>
        </w:rPr>
        <w:t xml:space="preserve">ulaganja u razvoj </w:t>
      </w:r>
      <w:r w:rsidR="00810B33" w:rsidRPr="006E0352">
        <w:rPr>
          <w:rFonts w:cstheme="minorHAnsi"/>
        </w:rPr>
        <w:t>bioekonomije</w:t>
      </w:r>
      <w:r w:rsidR="00810B33" w:rsidRPr="0091228A">
        <w:rPr>
          <w:rFonts w:cstheme="minorHAnsi"/>
        </w:rPr>
        <w:t>, ulaganja u porast produktivnosti i  kvalitete poljoprivrednih proizvoda</w:t>
      </w:r>
      <w:r w:rsidRPr="0091228A">
        <w:rPr>
          <w:rFonts w:cstheme="minorHAnsi"/>
        </w:rPr>
        <w:t xml:space="preserve"> i </w:t>
      </w:r>
      <w:r w:rsidR="00810B33" w:rsidRPr="0091228A">
        <w:rPr>
          <w:rFonts w:cstheme="minorHAnsi"/>
        </w:rPr>
        <w:t>razvoj lokalnog tržišta te stavljanj</w:t>
      </w:r>
      <w:r w:rsidRPr="0091228A">
        <w:rPr>
          <w:rFonts w:cstheme="minorHAnsi"/>
        </w:rPr>
        <w:t>e</w:t>
      </w:r>
      <w:r w:rsidR="00810B33" w:rsidRPr="0091228A">
        <w:rPr>
          <w:rFonts w:cstheme="minorHAnsi"/>
        </w:rPr>
        <w:t xml:space="preserve"> u funkciju zapuštenih poljoprivrednih zemljišta okrupnj</w:t>
      </w:r>
      <w:r w:rsidR="004D5E88">
        <w:rPr>
          <w:rFonts w:cstheme="minorHAnsi"/>
        </w:rPr>
        <w:t>a</w:t>
      </w:r>
      <w:r w:rsidR="00810B33" w:rsidRPr="0091228A">
        <w:rPr>
          <w:rFonts w:cstheme="minorHAnsi"/>
        </w:rPr>
        <w:t>vanjem i navodnjavanjem.</w:t>
      </w:r>
    </w:p>
    <w:p w14:paraId="7BF1A4A0" w14:textId="36A839A9" w:rsidR="00810B33" w:rsidRPr="0091228A" w:rsidRDefault="00810B33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Bioekonomija </w:t>
      </w:r>
      <w:r w:rsidR="00B26B9F" w:rsidRPr="0091228A">
        <w:rPr>
          <w:rFonts w:cstheme="minorHAnsi"/>
        </w:rPr>
        <w:t xml:space="preserve">je </w:t>
      </w:r>
      <w:r w:rsidRPr="0091228A">
        <w:rPr>
          <w:rFonts w:cstheme="minorHAnsi"/>
        </w:rPr>
        <w:t xml:space="preserve">prepoznata u svijetu kao bitan stup ekonomskog razvoja, a svijest o </w:t>
      </w:r>
      <w:r w:rsidR="00231110" w:rsidRPr="0091228A">
        <w:rPr>
          <w:rFonts w:cstheme="minorHAnsi"/>
        </w:rPr>
        <w:t>nje</w:t>
      </w:r>
      <w:r w:rsidR="00274DEB">
        <w:rPr>
          <w:rFonts w:cstheme="minorHAnsi"/>
        </w:rPr>
        <w:t>zi</w:t>
      </w:r>
      <w:r w:rsidR="00231110" w:rsidRPr="0091228A">
        <w:rPr>
          <w:rFonts w:cstheme="minorHAnsi"/>
        </w:rPr>
        <w:t xml:space="preserve">noj </w:t>
      </w:r>
      <w:r w:rsidRPr="0091228A">
        <w:rPr>
          <w:rFonts w:cstheme="minorHAnsi"/>
        </w:rPr>
        <w:t xml:space="preserve">važnosti  širi se i u RH. </w:t>
      </w:r>
      <w:r w:rsidR="00274DEB">
        <w:rPr>
          <w:rFonts w:cstheme="minorHAnsi"/>
        </w:rPr>
        <w:t>Z</w:t>
      </w:r>
      <w:r w:rsidRPr="0091228A">
        <w:rPr>
          <w:rFonts w:cstheme="minorHAnsi"/>
        </w:rPr>
        <w:t xml:space="preserve">bog svojih </w:t>
      </w:r>
      <w:r w:rsidR="00231110" w:rsidRPr="0091228A">
        <w:rPr>
          <w:rFonts w:cstheme="minorHAnsi"/>
        </w:rPr>
        <w:t>obilježja</w:t>
      </w:r>
      <w:r w:rsidRPr="0091228A">
        <w:rPr>
          <w:rFonts w:cstheme="minorHAnsi"/>
        </w:rPr>
        <w:t>, prvenstveno bogatstva prirodnim resursima</w:t>
      </w:r>
      <w:r w:rsidR="00231110" w:rsidRPr="0091228A">
        <w:rPr>
          <w:rFonts w:cstheme="minorHAnsi"/>
        </w:rPr>
        <w:t xml:space="preserve">, </w:t>
      </w:r>
      <w:r w:rsidRPr="0091228A">
        <w:rPr>
          <w:rFonts w:cstheme="minorHAnsi"/>
        </w:rPr>
        <w:t xml:space="preserve"> </w:t>
      </w:r>
      <w:r w:rsidR="00274DEB" w:rsidRPr="0091228A">
        <w:rPr>
          <w:rFonts w:cstheme="minorHAnsi"/>
        </w:rPr>
        <w:t xml:space="preserve">Brodsko-posavska županija </w:t>
      </w:r>
      <w:r w:rsidRPr="0091228A">
        <w:rPr>
          <w:rFonts w:cstheme="minorHAnsi"/>
        </w:rPr>
        <w:t xml:space="preserve">ima velik potencijal za razvoj bioekonomije odnosno </w:t>
      </w:r>
      <w:r w:rsidR="00274DEB">
        <w:rPr>
          <w:rFonts w:cstheme="minorHAnsi"/>
        </w:rPr>
        <w:t xml:space="preserve">za </w:t>
      </w:r>
      <w:r w:rsidRPr="0091228A">
        <w:rPr>
          <w:rFonts w:cstheme="minorHAnsi"/>
        </w:rPr>
        <w:t xml:space="preserve">zeleni rast i razvoj te </w:t>
      </w:r>
      <w:r w:rsidR="00274DEB">
        <w:rPr>
          <w:rFonts w:cstheme="minorHAnsi"/>
        </w:rPr>
        <w:t xml:space="preserve">za </w:t>
      </w:r>
      <w:r w:rsidRPr="0091228A">
        <w:rPr>
          <w:rFonts w:cstheme="minorHAnsi"/>
        </w:rPr>
        <w:t>razvoj zelenog gospodarstva. Ostale komparativne prednosti BPŽ</w:t>
      </w:r>
      <w:r w:rsidR="00274DEB">
        <w:rPr>
          <w:rFonts w:cstheme="minorHAnsi"/>
        </w:rPr>
        <w:t>-a</w:t>
      </w:r>
      <w:r w:rsidRPr="0091228A">
        <w:rPr>
          <w:rFonts w:cstheme="minorHAnsi"/>
        </w:rPr>
        <w:t xml:space="preserve"> u razvoju bioekonomije su povoljna struktura poljoprivrednog zemljišta sa značajnim udjelom gospodarstava s većim poljoprivrednim površinama, pozitivni pomaci poslovanja u poljoprivredi odnosno porast iskoristivosti poljoprivrednih površina, povećanje proizvodnje pojedinih tradicionalnih i netradicionalnih kultura, kao i povećanje interesa i ulaganja u ekološku proizvodnju</w:t>
      </w:r>
      <w:r w:rsidR="004D52EE" w:rsidRPr="0091228A">
        <w:rPr>
          <w:rFonts w:cstheme="minorHAnsi"/>
        </w:rPr>
        <w:t xml:space="preserve">, uzgoj slatkovodne ribe </w:t>
      </w:r>
      <w:r w:rsidRPr="0091228A">
        <w:rPr>
          <w:rFonts w:cstheme="minorHAnsi"/>
        </w:rPr>
        <w:t>te intenziviranje navodnjavanja.</w:t>
      </w:r>
    </w:p>
    <w:p w14:paraId="048F3F94" w14:textId="691EF615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>Ukupni financijski okvir za provedb</w:t>
      </w:r>
      <w:r w:rsidR="00274DEB">
        <w:rPr>
          <w:rFonts w:eastAsia="Times New Roman" w:cstheme="minorHAnsi"/>
          <w:lang w:eastAsia="hr-HR"/>
        </w:rPr>
        <w:t>u</w:t>
      </w:r>
      <w:r w:rsidRPr="0091228A">
        <w:rPr>
          <w:rFonts w:eastAsia="Times New Roman" w:cstheme="minorHAnsi"/>
          <w:lang w:eastAsia="hr-HR"/>
        </w:rPr>
        <w:t xml:space="preserve"> </w:t>
      </w:r>
      <w:r w:rsidR="00231110" w:rsidRPr="0091228A">
        <w:rPr>
          <w:rFonts w:eastAsia="Times New Roman" w:cstheme="minorHAnsi"/>
          <w:lang w:eastAsia="hr-HR"/>
        </w:rPr>
        <w:t>o</w:t>
      </w:r>
      <w:r w:rsidRPr="0091228A">
        <w:rPr>
          <w:rFonts w:eastAsia="Times New Roman" w:cstheme="minorHAnsi"/>
          <w:lang w:eastAsia="hr-HR"/>
        </w:rPr>
        <w:t xml:space="preserve">vog posebnog cilja je </w:t>
      </w:r>
      <w:r w:rsidR="00256E48" w:rsidRPr="009820F7">
        <w:rPr>
          <w:rFonts w:eastAsia="Times New Roman" w:cstheme="minorHAnsi"/>
          <w:lang w:eastAsia="hr-HR"/>
        </w:rPr>
        <w:t>194.396.528,00 kn</w:t>
      </w:r>
      <w:r w:rsidRPr="0091228A">
        <w:rPr>
          <w:rFonts w:eastAsia="Times New Roman" w:cstheme="minorHAnsi"/>
          <w:lang w:eastAsia="hr-HR"/>
        </w:rPr>
        <w:t>.</w:t>
      </w:r>
    </w:p>
    <w:p w14:paraId="0686C2AC" w14:textId="77777777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</w:p>
    <w:p w14:paraId="7AE70148" w14:textId="77777777" w:rsidR="00810B33" w:rsidRPr="0091228A" w:rsidRDefault="00810B33" w:rsidP="00810B33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  <w:i/>
          <w:iCs/>
          <w:u w:val="single"/>
        </w:rPr>
        <w:t>Pokazatelji ishoda za posebni cilj:</w:t>
      </w:r>
    </w:p>
    <w:p w14:paraId="7797E2B4" w14:textId="60C6D61B" w:rsidR="00CA6021" w:rsidRDefault="0021573B" w:rsidP="00231110">
      <w:pPr>
        <w:jc w:val="both"/>
        <w:rPr>
          <w:rFonts w:cstheme="minorHAnsi"/>
        </w:rPr>
      </w:pPr>
      <w:r w:rsidRPr="0021573B">
        <w:rPr>
          <w:rFonts w:cstheme="minorHAnsi"/>
        </w:rPr>
        <w:t>I0.02.12.79 udio prihoda poljoprivrednog sektora u BDP -u županije</w:t>
      </w:r>
    </w:p>
    <w:p w14:paraId="42761F07" w14:textId="77777777" w:rsidR="0021573B" w:rsidRPr="0091228A" w:rsidRDefault="0021573B" w:rsidP="00231110">
      <w:pPr>
        <w:jc w:val="both"/>
        <w:rPr>
          <w:rFonts w:cstheme="minorHAnsi"/>
        </w:rPr>
      </w:pPr>
    </w:p>
    <w:p w14:paraId="0F56F4D6" w14:textId="456A2DDE" w:rsidR="00231110" w:rsidRPr="0091228A" w:rsidRDefault="00231110" w:rsidP="00231110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</w:rPr>
        <w:t xml:space="preserve">Mjere pomoću kojih će se realizirati posebni cilj su sljedeće: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63DA2" w:rsidRPr="0091228A" w14:paraId="5679C2CB" w14:textId="77777777" w:rsidTr="00A55D84">
        <w:trPr>
          <w:trHeight w:val="1400"/>
        </w:trPr>
        <w:tc>
          <w:tcPr>
            <w:tcW w:w="2263" w:type="dxa"/>
            <w:vAlign w:val="center"/>
          </w:tcPr>
          <w:p w14:paraId="5EA097E4" w14:textId="77777777" w:rsidR="00863DA2" w:rsidRPr="0091228A" w:rsidRDefault="00863DA2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</w:rPr>
              <w:t xml:space="preserve">Posebni cilj </w:t>
            </w:r>
            <w:r w:rsidR="005000C9" w:rsidRPr="0091228A">
              <w:rPr>
                <w:rFonts w:cstheme="minorHAnsi"/>
                <w:b/>
              </w:rPr>
              <w:t>9</w:t>
            </w:r>
            <w:r w:rsidRPr="0091228A">
              <w:rPr>
                <w:rFonts w:cstheme="minorHAnsi"/>
                <w:b/>
              </w:rPr>
              <w:t xml:space="preserve">. </w:t>
            </w:r>
          </w:p>
          <w:p w14:paraId="51EFDE2B" w14:textId="47B73292" w:rsidR="00863DA2" w:rsidRPr="0091228A" w:rsidRDefault="00863DA2" w:rsidP="007510FD">
            <w:pPr>
              <w:rPr>
                <w:rFonts w:cstheme="minorHAnsi"/>
                <w:b/>
                <w:color w:val="FF0000"/>
              </w:rPr>
            </w:pPr>
            <w:r w:rsidRPr="00C55151">
              <w:rPr>
                <w:rFonts w:cstheme="minorHAnsi"/>
                <w:b/>
                <w:bCs/>
              </w:rPr>
              <w:t xml:space="preserve">Razvoj </w:t>
            </w:r>
            <w:r w:rsidRPr="006E0352">
              <w:rPr>
                <w:rFonts w:cstheme="minorHAnsi"/>
                <w:b/>
                <w:bCs/>
              </w:rPr>
              <w:t>bio</w:t>
            </w:r>
            <w:r w:rsidR="00B20915" w:rsidRPr="006E0352">
              <w:rPr>
                <w:rFonts w:cstheme="minorHAnsi"/>
                <w:b/>
                <w:bCs/>
              </w:rPr>
              <w:t>ekonomije</w:t>
            </w:r>
          </w:p>
        </w:tc>
        <w:tc>
          <w:tcPr>
            <w:tcW w:w="6799" w:type="dxa"/>
          </w:tcPr>
          <w:p w14:paraId="7A2AF760" w14:textId="77777777" w:rsidR="00863DA2" w:rsidRPr="0091228A" w:rsidRDefault="00863DA2" w:rsidP="007510FD">
            <w:pPr>
              <w:jc w:val="both"/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5000C9" w:rsidRPr="0091228A">
              <w:rPr>
                <w:rFonts w:cstheme="minorHAnsi"/>
                <w:bCs/>
              </w:rPr>
              <w:t>9</w:t>
            </w:r>
            <w:r w:rsidRPr="0091228A">
              <w:rPr>
                <w:rFonts w:cstheme="minorHAnsi"/>
                <w:bCs/>
              </w:rPr>
              <w:t>.1. Poticanje ulaganja u razvoj bioekonomije</w:t>
            </w:r>
          </w:p>
          <w:p w14:paraId="5D612352" w14:textId="77777777" w:rsidR="00863DA2" w:rsidRPr="0091228A" w:rsidRDefault="00863DA2" w:rsidP="007510F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lang w:eastAsia="hr-HR"/>
              </w:rPr>
            </w:pPr>
            <w:r w:rsidRPr="0091228A">
              <w:rPr>
                <w:rFonts w:eastAsia="Times New Roman" w:cstheme="minorHAnsi"/>
                <w:bCs/>
                <w:lang w:eastAsia="hr-HR"/>
              </w:rPr>
              <w:t xml:space="preserve">Mjera </w:t>
            </w:r>
            <w:r w:rsidR="005000C9" w:rsidRPr="0091228A">
              <w:rPr>
                <w:rFonts w:eastAsia="Times New Roman" w:cstheme="minorHAnsi"/>
                <w:bCs/>
                <w:lang w:eastAsia="hr-HR"/>
              </w:rPr>
              <w:t>9</w:t>
            </w:r>
            <w:r w:rsidRPr="0091228A">
              <w:rPr>
                <w:rFonts w:eastAsia="Times New Roman" w:cstheme="minorHAnsi"/>
                <w:bCs/>
                <w:lang w:eastAsia="hr-HR"/>
              </w:rPr>
              <w:t>.2. Ulaganja u porast produktivnosti i kvalitete poljoprivrednih proizvoda te razvoj lokalnog tržišta</w:t>
            </w:r>
          </w:p>
          <w:p w14:paraId="7294EDF5" w14:textId="77777777" w:rsidR="00863DA2" w:rsidRPr="0091228A" w:rsidRDefault="00863DA2" w:rsidP="005000C9">
            <w:pPr>
              <w:spacing w:before="100" w:beforeAutospacing="1" w:after="100" w:afterAutospacing="1"/>
              <w:jc w:val="both"/>
              <w:rPr>
                <w:rFonts w:cstheme="minorHAnsi"/>
                <w:bCs/>
              </w:rPr>
            </w:pPr>
            <w:r w:rsidRPr="0091228A">
              <w:rPr>
                <w:rFonts w:eastAsia="Times New Roman" w:cstheme="minorHAnsi"/>
                <w:bCs/>
                <w:lang w:eastAsia="hr-HR"/>
              </w:rPr>
              <w:t xml:space="preserve">Mjera </w:t>
            </w:r>
            <w:r w:rsidR="005000C9" w:rsidRPr="0091228A">
              <w:rPr>
                <w:rFonts w:eastAsia="Times New Roman" w:cstheme="minorHAnsi"/>
                <w:bCs/>
                <w:lang w:eastAsia="hr-HR"/>
              </w:rPr>
              <w:t>9</w:t>
            </w:r>
            <w:r w:rsidRPr="0091228A">
              <w:rPr>
                <w:rFonts w:eastAsia="Times New Roman" w:cstheme="minorHAnsi"/>
                <w:bCs/>
                <w:lang w:eastAsia="hr-HR"/>
              </w:rPr>
              <w:t xml:space="preserve">.3. Stavljanje u funkciju zapuštenih poljoprivrednih zemljišta okrupnjavanjem i navodnjavanjem </w:t>
            </w:r>
          </w:p>
        </w:tc>
      </w:tr>
    </w:tbl>
    <w:p w14:paraId="336D4929" w14:textId="77777777" w:rsidR="006F3FC9" w:rsidRPr="0091228A" w:rsidRDefault="006F3FC9" w:rsidP="00810B33">
      <w:pPr>
        <w:jc w:val="both"/>
        <w:rPr>
          <w:rFonts w:cstheme="minorHAnsi"/>
          <w:b/>
          <w:bCs/>
        </w:rPr>
      </w:pPr>
    </w:p>
    <w:p w14:paraId="4987D431" w14:textId="77777777" w:rsidR="006F3FC9" w:rsidRPr="0091228A" w:rsidRDefault="006F3FC9" w:rsidP="00810B33">
      <w:pPr>
        <w:jc w:val="both"/>
        <w:rPr>
          <w:rFonts w:cstheme="minorHAnsi"/>
          <w:b/>
          <w:bCs/>
        </w:rPr>
      </w:pPr>
    </w:p>
    <w:p w14:paraId="7A8AA056" w14:textId="029C8430" w:rsidR="00810B33" w:rsidRPr="0091228A" w:rsidRDefault="00810B33" w:rsidP="00810B33">
      <w:pPr>
        <w:jc w:val="both"/>
        <w:rPr>
          <w:rFonts w:cstheme="minorHAnsi"/>
          <w:b/>
          <w:bCs/>
        </w:rPr>
      </w:pPr>
      <w:r w:rsidRPr="0091228A">
        <w:rPr>
          <w:rFonts w:cstheme="minorHAnsi"/>
          <w:b/>
          <w:bCs/>
        </w:rPr>
        <w:t xml:space="preserve">Posebni cilj </w:t>
      </w:r>
      <w:r w:rsidR="005000C9" w:rsidRPr="0091228A">
        <w:rPr>
          <w:rFonts w:cstheme="minorHAnsi"/>
          <w:b/>
          <w:bCs/>
        </w:rPr>
        <w:t>10</w:t>
      </w:r>
      <w:r w:rsidRPr="0091228A">
        <w:rPr>
          <w:rFonts w:cstheme="minorHAnsi"/>
          <w:b/>
          <w:bCs/>
        </w:rPr>
        <w:t>. Intenzivno korištenje obnovljivih izvora energije i podizanje energetske učinkovitosti</w:t>
      </w:r>
    </w:p>
    <w:p w14:paraId="3A90B9C4" w14:textId="156E69B4" w:rsidR="00810B33" w:rsidRPr="0091228A" w:rsidRDefault="00231110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Desetim </w:t>
      </w:r>
      <w:r w:rsidR="004D5E88">
        <w:rPr>
          <w:rFonts w:cstheme="minorHAnsi"/>
        </w:rPr>
        <w:t>p</w:t>
      </w:r>
      <w:r w:rsidRPr="0091228A">
        <w:rPr>
          <w:rFonts w:cstheme="minorHAnsi"/>
        </w:rPr>
        <w:t>o redu</w:t>
      </w:r>
      <w:r w:rsidR="004D5E88">
        <w:rPr>
          <w:rFonts w:cstheme="minorHAnsi"/>
        </w:rPr>
        <w:t>,</w:t>
      </w:r>
      <w:r w:rsidRPr="0091228A">
        <w:rPr>
          <w:rFonts w:cstheme="minorHAnsi"/>
        </w:rPr>
        <w:t xml:space="preserve"> p</w:t>
      </w:r>
      <w:r w:rsidR="00810B33" w:rsidRPr="0091228A">
        <w:rPr>
          <w:rFonts w:cstheme="minorHAnsi"/>
        </w:rPr>
        <w:t>osebni</w:t>
      </w:r>
      <w:r w:rsidRPr="0091228A">
        <w:rPr>
          <w:rFonts w:cstheme="minorHAnsi"/>
        </w:rPr>
        <w:t xml:space="preserve">m ciljem </w:t>
      </w:r>
      <w:r w:rsidR="00810B33" w:rsidRPr="0091228A">
        <w:rPr>
          <w:rFonts w:cstheme="minorHAnsi"/>
        </w:rPr>
        <w:t>usmjerava</w:t>
      </w:r>
      <w:r w:rsidRPr="0091228A">
        <w:rPr>
          <w:rFonts w:cstheme="minorHAnsi"/>
        </w:rPr>
        <w:t xml:space="preserve">t će se </w:t>
      </w:r>
      <w:r w:rsidR="00810B33" w:rsidRPr="0091228A">
        <w:rPr>
          <w:rFonts w:cstheme="minorHAnsi"/>
        </w:rPr>
        <w:t>razvoj BPŽ</w:t>
      </w:r>
      <w:r w:rsidR="004D5E88">
        <w:rPr>
          <w:rFonts w:cstheme="minorHAnsi"/>
        </w:rPr>
        <w:t>-a</w:t>
      </w:r>
      <w:r w:rsidR="00810B33" w:rsidRPr="0091228A">
        <w:rPr>
          <w:rFonts w:cstheme="minorHAnsi"/>
        </w:rPr>
        <w:t xml:space="preserve"> prema načelima održivog razvoja, korištenju prirodnih resursa i učinkovitom gospodarenju putem porasta energetske učinkovitosti i povećanja korištenja obnovljivih izvora energije. </w:t>
      </w:r>
    </w:p>
    <w:p w14:paraId="164B6D9D" w14:textId="341C5ADB" w:rsidR="00810B33" w:rsidRPr="0091228A" w:rsidRDefault="004D5E88" w:rsidP="00810B33">
      <w:pPr>
        <w:jc w:val="both"/>
        <w:rPr>
          <w:rFonts w:cstheme="minorHAnsi"/>
        </w:rPr>
      </w:pPr>
      <w:r>
        <w:rPr>
          <w:rFonts w:cstheme="minorHAnsi"/>
        </w:rPr>
        <w:t>Z</w:t>
      </w:r>
      <w:r w:rsidR="00231110" w:rsidRPr="0091228A">
        <w:rPr>
          <w:rFonts w:cstheme="minorHAnsi"/>
        </w:rPr>
        <w:t xml:space="preserve">ahvaljujući svom </w:t>
      </w:r>
      <w:r w:rsidR="00810B33" w:rsidRPr="0091228A">
        <w:rPr>
          <w:rFonts w:cstheme="minorHAnsi"/>
        </w:rPr>
        <w:t>položaj</w:t>
      </w:r>
      <w:r w:rsidR="00231110" w:rsidRPr="0091228A">
        <w:rPr>
          <w:rFonts w:cstheme="minorHAnsi"/>
        </w:rPr>
        <w:t>u,</w:t>
      </w:r>
      <w:r w:rsidR="00810B33" w:rsidRPr="0091228A">
        <w:rPr>
          <w:rFonts w:cstheme="minorHAnsi"/>
        </w:rPr>
        <w:t xml:space="preserve"> </w:t>
      </w:r>
      <w:r w:rsidRPr="0091228A">
        <w:rPr>
          <w:rFonts w:cstheme="minorHAnsi"/>
        </w:rPr>
        <w:t>Brodsko-posavska županija</w:t>
      </w:r>
      <w:r>
        <w:rPr>
          <w:rFonts w:cstheme="minorHAnsi"/>
        </w:rPr>
        <w:t xml:space="preserve"> </w:t>
      </w:r>
      <w:r w:rsidR="00810B33" w:rsidRPr="0091228A">
        <w:rPr>
          <w:rFonts w:cstheme="minorHAnsi"/>
        </w:rPr>
        <w:t xml:space="preserve">ima </w:t>
      </w:r>
      <w:r w:rsidR="00231110" w:rsidRPr="0091228A">
        <w:rPr>
          <w:rFonts w:cstheme="minorHAnsi"/>
        </w:rPr>
        <w:t>izražen</w:t>
      </w:r>
      <w:r w:rsidR="00810B33" w:rsidRPr="0091228A">
        <w:rPr>
          <w:rFonts w:cstheme="minorHAnsi"/>
        </w:rPr>
        <w:t xml:space="preserve"> potencijal za korištenje određenih  oblika obnovljivih izvora energije. Komparativne prednosti BPŽ</w:t>
      </w:r>
      <w:r>
        <w:rPr>
          <w:rFonts w:cstheme="minorHAnsi"/>
        </w:rPr>
        <w:t>-a</w:t>
      </w:r>
      <w:r w:rsidR="00810B33" w:rsidRPr="0091228A">
        <w:rPr>
          <w:rFonts w:cstheme="minorHAnsi"/>
        </w:rPr>
        <w:t xml:space="preserve"> su povoljni uvjeti i resursi za korištenje obnovljivih izvora energije (biomasa), dosadašnje iskustvo i korištenje nacionalnih i programa </w:t>
      </w:r>
      <w:r w:rsidR="00AD5B31">
        <w:rPr>
          <w:rFonts w:cstheme="minorHAnsi"/>
        </w:rPr>
        <w:t xml:space="preserve">EU-a </w:t>
      </w:r>
      <w:r w:rsidR="00810B33" w:rsidRPr="0091228A">
        <w:rPr>
          <w:rFonts w:cstheme="minorHAnsi"/>
        </w:rPr>
        <w:t>za ulaganja i korištenje obnovljivih izvora energije.</w:t>
      </w:r>
    </w:p>
    <w:p w14:paraId="5E9697BB" w14:textId="356E8B05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>Ukupni financijski okvir za provedb</w:t>
      </w:r>
      <w:r w:rsidR="00AD5B31">
        <w:rPr>
          <w:rFonts w:eastAsia="Times New Roman" w:cstheme="minorHAnsi"/>
          <w:lang w:eastAsia="hr-HR"/>
        </w:rPr>
        <w:t>u</w:t>
      </w:r>
      <w:r w:rsidRPr="0091228A">
        <w:rPr>
          <w:rFonts w:eastAsia="Times New Roman" w:cstheme="minorHAnsi"/>
          <w:lang w:eastAsia="hr-HR"/>
        </w:rPr>
        <w:t xml:space="preserve"> </w:t>
      </w:r>
      <w:r w:rsidR="00231110" w:rsidRPr="0091228A">
        <w:rPr>
          <w:rFonts w:eastAsia="Times New Roman" w:cstheme="minorHAnsi"/>
          <w:lang w:eastAsia="hr-HR"/>
        </w:rPr>
        <w:t>o</w:t>
      </w:r>
      <w:r w:rsidRPr="0091228A">
        <w:rPr>
          <w:rFonts w:eastAsia="Times New Roman" w:cstheme="minorHAnsi"/>
          <w:lang w:eastAsia="hr-HR"/>
        </w:rPr>
        <w:t xml:space="preserve">vog posebnog cilja je </w:t>
      </w:r>
      <w:r w:rsidR="00256E48" w:rsidRPr="009820F7">
        <w:rPr>
          <w:rFonts w:eastAsia="Times New Roman" w:cstheme="minorHAnsi"/>
          <w:lang w:eastAsia="hr-HR"/>
        </w:rPr>
        <w:t>111.113.688,55 kn</w:t>
      </w:r>
      <w:r w:rsidR="00256E48">
        <w:rPr>
          <w:rFonts w:eastAsia="Times New Roman" w:cstheme="minorHAnsi"/>
          <w:lang w:eastAsia="hr-HR"/>
        </w:rPr>
        <w:t>.</w:t>
      </w:r>
    </w:p>
    <w:p w14:paraId="5247C689" w14:textId="77777777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</w:p>
    <w:p w14:paraId="26985B4D" w14:textId="77777777" w:rsidR="00810B33" w:rsidRPr="0091228A" w:rsidRDefault="00810B33" w:rsidP="00810B33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  <w:i/>
          <w:iCs/>
          <w:u w:val="single"/>
        </w:rPr>
        <w:t>Pokazatelji ishoda za posebni cilj:</w:t>
      </w:r>
    </w:p>
    <w:p w14:paraId="3DF3512B" w14:textId="77777777" w:rsidR="00810B33" w:rsidRPr="0091228A" w:rsidRDefault="00810B33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>OI.02.6.40 Udio obnovljive energije u bruto finalnoj potrošnji energije</w:t>
      </w:r>
    </w:p>
    <w:p w14:paraId="0A414801" w14:textId="77777777" w:rsidR="00CA6021" w:rsidRPr="0091228A" w:rsidRDefault="00CA6021" w:rsidP="00231110">
      <w:pPr>
        <w:jc w:val="both"/>
        <w:rPr>
          <w:rFonts w:cstheme="minorHAnsi"/>
        </w:rPr>
      </w:pPr>
    </w:p>
    <w:p w14:paraId="5E430DC2" w14:textId="4CF6B231" w:rsidR="00502EED" w:rsidRDefault="00502EED" w:rsidP="00231110">
      <w:pPr>
        <w:jc w:val="both"/>
        <w:rPr>
          <w:rFonts w:cstheme="minorHAnsi"/>
        </w:rPr>
      </w:pPr>
    </w:p>
    <w:p w14:paraId="2F1ED9EB" w14:textId="77777777" w:rsidR="00502EED" w:rsidRDefault="00502EED" w:rsidP="00231110">
      <w:pPr>
        <w:jc w:val="both"/>
        <w:rPr>
          <w:rFonts w:cstheme="minorHAnsi"/>
        </w:rPr>
      </w:pPr>
    </w:p>
    <w:p w14:paraId="4FDFA633" w14:textId="095D6046" w:rsidR="00231110" w:rsidRPr="0091228A" w:rsidRDefault="00231110" w:rsidP="00231110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</w:rPr>
        <w:t xml:space="preserve">Mjere pomoću kojih će se realizirati posebni cilj su sljedeće: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63DA2" w:rsidRPr="0091228A" w14:paraId="2C666E03" w14:textId="77777777" w:rsidTr="00A55D84">
        <w:trPr>
          <w:trHeight w:val="1518"/>
        </w:trPr>
        <w:tc>
          <w:tcPr>
            <w:tcW w:w="2263" w:type="dxa"/>
            <w:vAlign w:val="center"/>
          </w:tcPr>
          <w:p w14:paraId="56384E9F" w14:textId="77777777" w:rsidR="00863DA2" w:rsidRPr="0091228A" w:rsidRDefault="00863DA2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</w:rPr>
              <w:t xml:space="preserve">Posebni cilj </w:t>
            </w:r>
            <w:r w:rsidR="005000C9" w:rsidRPr="0091228A">
              <w:rPr>
                <w:rFonts w:cstheme="minorHAnsi"/>
                <w:b/>
              </w:rPr>
              <w:t>10</w:t>
            </w:r>
            <w:r w:rsidRPr="0091228A">
              <w:rPr>
                <w:rFonts w:cstheme="minorHAnsi"/>
                <w:b/>
              </w:rPr>
              <w:t xml:space="preserve">. </w:t>
            </w:r>
          </w:p>
          <w:p w14:paraId="492CFDD5" w14:textId="77777777" w:rsidR="00863DA2" w:rsidRPr="0091228A" w:rsidRDefault="00863DA2" w:rsidP="007510FD">
            <w:pPr>
              <w:rPr>
                <w:rFonts w:cstheme="minorHAnsi"/>
                <w:b/>
                <w:color w:val="FF0000"/>
              </w:rPr>
            </w:pPr>
            <w:r w:rsidRPr="0091228A">
              <w:rPr>
                <w:rFonts w:cstheme="minorHAnsi"/>
                <w:b/>
                <w:bCs/>
              </w:rPr>
              <w:t>Intenzivno korištenje obnovljivih izvora energije i podizanje energetske učinkovitosti</w:t>
            </w:r>
          </w:p>
        </w:tc>
        <w:tc>
          <w:tcPr>
            <w:tcW w:w="6799" w:type="dxa"/>
          </w:tcPr>
          <w:p w14:paraId="5E12A693" w14:textId="77777777" w:rsidR="00863DA2" w:rsidRPr="0091228A" w:rsidRDefault="00863DA2" w:rsidP="007510FD">
            <w:pPr>
              <w:jc w:val="both"/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5000C9" w:rsidRPr="0091228A">
              <w:rPr>
                <w:rFonts w:cstheme="minorHAnsi"/>
                <w:bCs/>
              </w:rPr>
              <w:t>10</w:t>
            </w:r>
            <w:r w:rsidRPr="0091228A">
              <w:rPr>
                <w:rFonts w:cstheme="minorHAnsi"/>
                <w:bCs/>
              </w:rPr>
              <w:t xml:space="preserve">.1. Porast energetske učinkovitosti </w:t>
            </w:r>
          </w:p>
          <w:p w14:paraId="3ABB281E" w14:textId="77777777" w:rsidR="00C55151" w:rsidRDefault="00C55151" w:rsidP="005000C9">
            <w:pPr>
              <w:rPr>
                <w:rFonts w:cstheme="minorHAnsi"/>
                <w:bCs/>
              </w:rPr>
            </w:pPr>
          </w:p>
          <w:p w14:paraId="20D87DFF" w14:textId="020952D3" w:rsidR="00863DA2" w:rsidRPr="0091228A" w:rsidRDefault="00863DA2" w:rsidP="005000C9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5000C9" w:rsidRPr="0091228A">
              <w:rPr>
                <w:rFonts w:cstheme="minorHAnsi"/>
                <w:bCs/>
              </w:rPr>
              <w:t>10</w:t>
            </w:r>
            <w:r w:rsidRPr="0091228A">
              <w:rPr>
                <w:rFonts w:cstheme="minorHAnsi"/>
                <w:bCs/>
              </w:rPr>
              <w:t xml:space="preserve">.2. Povećanje korištenja obnovljivih izvora energije </w:t>
            </w:r>
          </w:p>
        </w:tc>
      </w:tr>
    </w:tbl>
    <w:p w14:paraId="5BD403C4" w14:textId="77777777" w:rsidR="006F3FC9" w:rsidRPr="0091228A" w:rsidRDefault="006F3FC9" w:rsidP="00810B33">
      <w:pPr>
        <w:rPr>
          <w:rFonts w:cstheme="minorHAnsi"/>
          <w:b/>
          <w:bCs/>
        </w:rPr>
      </w:pPr>
    </w:p>
    <w:p w14:paraId="1E17BEAD" w14:textId="77777777" w:rsidR="006F3FC9" w:rsidRPr="0091228A" w:rsidRDefault="006F3FC9" w:rsidP="00810B33">
      <w:pPr>
        <w:rPr>
          <w:rFonts w:cstheme="minorHAnsi"/>
          <w:b/>
          <w:bCs/>
        </w:rPr>
      </w:pPr>
    </w:p>
    <w:p w14:paraId="2206FBF6" w14:textId="6FA167CB" w:rsidR="00810B33" w:rsidRPr="0091228A" w:rsidRDefault="00810B33" w:rsidP="00810B33">
      <w:pPr>
        <w:rPr>
          <w:rFonts w:cstheme="minorHAnsi"/>
          <w:b/>
          <w:bCs/>
        </w:rPr>
      </w:pPr>
      <w:r w:rsidRPr="0091228A">
        <w:rPr>
          <w:rFonts w:cstheme="minorHAnsi"/>
          <w:b/>
          <w:bCs/>
        </w:rPr>
        <w:t xml:space="preserve">Posebni cilj </w:t>
      </w:r>
      <w:r w:rsidR="005000C9" w:rsidRPr="0091228A">
        <w:rPr>
          <w:rFonts w:cstheme="minorHAnsi"/>
          <w:b/>
          <w:bCs/>
        </w:rPr>
        <w:t>11</w:t>
      </w:r>
      <w:r w:rsidRPr="0091228A">
        <w:rPr>
          <w:rFonts w:cstheme="minorHAnsi"/>
          <w:b/>
          <w:bCs/>
        </w:rPr>
        <w:t>. Daljnji razvoj komunalne, prometne i društvene infrastrukture</w:t>
      </w:r>
    </w:p>
    <w:p w14:paraId="7F40E622" w14:textId="5BE1BAC5" w:rsidR="00810B33" w:rsidRPr="0091228A" w:rsidRDefault="00A7276B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>Ovim se p</w:t>
      </w:r>
      <w:r w:rsidR="00810B33" w:rsidRPr="0091228A">
        <w:rPr>
          <w:rFonts w:cstheme="minorHAnsi"/>
        </w:rPr>
        <w:t>osebni</w:t>
      </w:r>
      <w:r w:rsidRPr="0091228A">
        <w:rPr>
          <w:rFonts w:cstheme="minorHAnsi"/>
        </w:rPr>
        <w:t>m</w:t>
      </w:r>
      <w:r w:rsidR="00810B33" w:rsidRPr="0091228A">
        <w:rPr>
          <w:rFonts w:cstheme="minorHAnsi"/>
        </w:rPr>
        <w:t xml:space="preserve"> cilj</w:t>
      </w:r>
      <w:r w:rsidRPr="0091228A">
        <w:rPr>
          <w:rFonts w:cstheme="minorHAnsi"/>
        </w:rPr>
        <w:t>em</w:t>
      </w:r>
      <w:r w:rsidR="00810B33" w:rsidRPr="0091228A">
        <w:rPr>
          <w:rFonts w:cstheme="minorHAnsi"/>
        </w:rPr>
        <w:t xml:space="preserve"> osigurava uspostav</w:t>
      </w:r>
      <w:r w:rsidRPr="0091228A">
        <w:rPr>
          <w:rFonts w:cstheme="minorHAnsi"/>
        </w:rPr>
        <w:t>a</w:t>
      </w:r>
      <w:r w:rsidR="00810B33" w:rsidRPr="0091228A">
        <w:rPr>
          <w:rFonts w:cstheme="minorHAnsi"/>
        </w:rPr>
        <w:t xml:space="preserve"> bolje kvalitete javne infrastrukture radi poboljšanja kvalitete života putem ulaganja u sustave vodovoda i odvodn</w:t>
      </w:r>
      <w:r w:rsidR="00AD5B31">
        <w:rPr>
          <w:rFonts w:cstheme="minorHAnsi"/>
        </w:rPr>
        <w:t>j</w:t>
      </w:r>
      <w:r w:rsidR="00810B33" w:rsidRPr="0091228A">
        <w:rPr>
          <w:rFonts w:cstheme="minorHAnsi"/>
        </w:rPr>
        <w:t>e te pročišćavanje otpadnih voda, razvoja cirkularnog gospodarstva i održivog gospodarenja otpadom, ulaganja u cestovni, željeznički i riječni promet, ulaganja u društvenu infrastrukturu te ulaganja u infrastrukturu i dostupnost širokopojasnog Interneta.</w:t>
      </w:r>
    </w:p>
    <w:p w14:paraId="4B3F267B" w14:textId="1123973C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>Ukupni financijski okvir za provedb</w:t>
      </w:r>
      <w:r w:rsidR="00AD5B31">
        <w:rPr>
          <w:rFonts w:eastAsia="Times New Roman" w:cstheme="minorHAnsi"/>
          <w:lang w:eastAsia="hr-HR"/>
        </w:rPr>
        <w:t>u</w:t>
      </w:r>
      <w:r w:rsidRPr="0091228A">
        <w:rPr>
          <w:rFonts w:eastAsia="Times New Roman" w:cstheme="minorHAnsi"/>
          <w:lang w:eastAsia="hr-HR"/>
        </w:rPr>
        <w:t xml:space="preserve"> </w:t>
      </w:r>
      <w:r w:rsidR="00A7276B" w:rsidRPr="0091228A">
        <w:rPr>
          <w:rFonts w:eastAsia="Times New Roman" w:cstheme="minorHAnsi"/>
          <w:lang w:eastAsia="hr-HR"/>
        </w:rPr>
        <w:t>o</w:t>
      </w:r>
      <w:r w:rsidRPr="0091228A">
        <w:rPr>
          <w:rFonts w:eastAsia="Times New Roman" w:cstheme="minorHAnsi"/>
          <w:lang w:eastAsia="hr-HR"/>
        </w:rPr>
        <w:t xml:space="preserve">vog posebnog cilja je </w:t>
      </w:r>
      <w:r w:rsidR="00256E48" w:rsidRPr="009820F7">
        <w:rPr>
          <w:rFonts w:eastAsia="Times New Roman" w:cstheme="minorHAnsi"/>
          <w:lang w:eastAsia="hr-HR"/>
        </w:rPr>
        <w:t>314.070.000,00 kn</w:t>
      </w:r>
      <w:r w:rsidR="00256E48">
        <w:rPr>
          <w:rFonts w:eastAsia="Times New Roman" w:cstheme="minorHAnsi"/>
          <w:lang w:eastAsia="hr-HR"/>
        </w:rPr>
        <w:t>.</w:t>
      </w:r>
    </w:p>
    <w:p w14:paraId="50B42056" w14:textId="77777777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</w:p>
    <w:p w14:paraId="29497369" w14:textId="77777777" w:rsidR="00810B33" w:rsidRPr="0091228A" w:rsidRDefault="00810B33" w:rsidP="00810B33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  <w:i/>
          <w:iCs/>
          <w:u w:val="single"/>
        </w:rPr>
        <w:t>Pokazatelji ishoda za posebni cilj:</w:t>
      </w:r>
    </w:p>
    <w:p w14:paraId="6EF40EC3" w14:textId="77777777" w:rsidR="00777E47" w:rsidRPr="0091228A" w:rsidRDefault="00777E47" w:rsidP="00777E47">
      <w:pPr>
        <w:jc w:val="both"/>
        <w:rPr>
          <w:rFonts w:cstheme="minorHAnsi"/>
        </w:rPr>
      </w:pPr>
      <w:r w:rsidRPr="0091228A">
        <w:rPr>
          <w:rFonts w:cstheme="minorHAnsi"/>
        </w:rPr>
        <w:t>OI.02.6.63</w:t>
      </w:r>
      <w:r w:rsidRPr="0091228A">
        <w:rPr>
          <w:rFonts w:cstheme="minorHAnsi"/>
        </w:rPr>
        <w:tab/>
        <w:t xml:space="preserve">Investicije u zaštitu okoliša </w:t>
      </w:r>
    </w:p>
    <w:p w14:paraId="0748F430" w14:textId="23E74BF9" w:rsidR="00777E47" w:rsidRPr="0091228A" w:rsidRDefault="00777E47" w:rsidP="00777E47">
      <w:pPr>
        <w:jc w:val="both"/>
        <w:rPr>
          <w:rFonts w:cstheme="minorHAnsi"/>
        </w:rPr>
      </w:pPr>
      <w:r w:rsidRPr="0091228A">
        <w:rPr>
          <w:rFonts w:cstheme="minorHAnsi"/>
        </w:rPr>
        <w:t>OI.02.6.65</w:t>
      </w:r>
      <w:r w:rsidRPr="0091228A">
        <w:rPr>
          <w:rFonts w:cstheme="minorHAnsi"/>
        </w:rPr>
        <w:tab/>
        <w:t>Ostvareni gubici u vodovodnoj mreži</w:t>
      </w:r>
    </w:p>
    <w:p w14:paraId="61B8773C" w14:textId="77777777" w:rsidR="00777E47" w:rsidRPr="0091228A" w:rsidRDefault="00777E47" w:rsidP="00A7276B">
      <w:pPr>
        <w:jc w:val="both"/>
        <w:rPr>
          <w:rFonts w:cstheme="minorHAnsi"/>
        </w:rPr>
      </w:pPr>
    </w:p>
    <w:p w14:paraId="47FCAF35" w14:textId="4805373D" w:rsidR="00A7276B" w:rsidRPr="0091228A" w:rsidRDefault="00A7276B" w:rsidP="00A7276B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</w:rPr>
        <w:t xml:space="preserve">Mjere pomoću kojih će se realizirati posebni cilj su sljedeće: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63DA2" w:rsidRPr="0091228A" w14:paraId="26A3C94E" w14:textId="77777777" w:rsidTr="00A55D84">
        <w:trPr>
          <w:trHeight w:val="2077"/>
        </w:trPr>
        <w:tc>
          <w:tcPr>
            <w:tcW w:w="2263" w:type="dxa"/>
            <w:vAlign w:val="center"/>
          </w:tcPr>
          <w:p w14:paraId="5A64E7DD" w14:textId="77777777" w:rsidR="00863DA2" w:rsidRPr="0091228A" w:rsidRDefault="00863DA2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</w:rPr>
              <w:t xml:space="preserve">Posebni cilj </w:t>
            </w:r>
            <w:r w:rsidR="005000C9" w:rsidRPr="0091228A">
              <w:rPr>
                <w:rFonts w:cstheme="minorHAnsi"/>
                <w:b/>
              </w:rPr>
              <w:t>11</w:t>
            </w:r>
            <w:r w:rsidRPr="0091228A">
              <w:rPr>
                <w:rFonts w:cstheme="minorHAnsi"/>
                <w:b/>
              </w:rPr>
              <w:t xml:space="preserve">. </w:t>
            </w:r>
          </w:p>
          <w:p w14:paraId="6C1FE538" w14:textId="77777777" w:rsidR="00863DA2" w:rsidRPr="0091228A" w:rsidRDefault="00863DA2" w:rsidP="007510FD">
            <w:pPr>
              <w:rPr>
                <w:rFonts w:cstheme="minorHAnsi"/>
                <w:b/>
                <w:color w:val="FF0000"/>
              </w:rPr>
            </w:pPr>
            <w:r w:rsidRPr="0091228A">
              <w:rPr>
                <w:rFonts w:cstheme="minorHAnsi"/>
                <w:b/>
                <w:bCs/>
              </w:rPr>
              <w:t>Daljnji razvoj komunalne, prometne i društvene infrastrukture</w:t>
            </w:r>
          </w:p>
        </w:tc>
        <w:tc>
          <w:tcPr>
            <w:tcW w:w="6799" w:type="dxa"/>
          </w:tcPr>
          <w:p w14:paraId="1EA990AE" w14:textId="77777777" w:rsidR="00863DA2" w:rsidRPr="0091228A" w:rsidRDefault="00863DA2" w:rsidP="007510FD">
            <w:pPr>
              <w:jc w:val="both"/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5000C9" w:rsidRPr="0091228A">
              <w:rPr>
                <w:rFonts w:cstheme="minorHAnsi"/>
                <w:bCs/>
              </w:rPr>
              <w:t>11</w:t>
            </w:r>
            <w:r w:rsidRPr="0091228A">
              <w:rPr>
                <w:rFonts w:cstheme="minorHAnsi"/>
                <w:bCs/>
              </w:rPr>
              <w:t xml:space="preserve">.1. Ulaganje u sustave vodovoda i odvodnje te pročišćavanja otpadnih voda </w:t>
            </w:r>
          </w:p>
          <w:p w14:paraId="6A201616" w14:textId="77777777" w:rsidR="00863DA2" w:rsidRPr="0091228A" w:rsidRDefault="00863DA2" w:rsidP="007510FD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5000C9" w:rsidRPr="0091228A">
              <w:rPr>
                <w:rFonts w:cstheme="minorHAnsi"/>
                <w:bCs/>
              </w:rPr>
              <w:t>11</w:t>
            </w:r>
            <w:r w:rsidRPr="0091228A">
              <w:rPr>
                <w:rFonts w:cstheme="minorHAnsi"/>
                <w:bCs/>
              </w:rPr>
              <w:t xml:space="preserve">.2. Razvoj cirkularnog gospodarstva i održivo gospodarenje otpadom </w:t>
            </w:r>
          </w:p>
          <w:p w14:paraId="6BFC30A4" w14:textId="77777777" w:rsidR="00863DA2" w:rsidRPr="0091228A" w:rsidRDefault="00863DA2" w:rsidP="007510FD">
            <w:pPr>
              <w:spacing w:before="100" w:beforeAutospacing="1" w:after="100" w:afterAutospacing="1"/>
              <w:rPr>
                <w:rFonts w:eastAsia="Times New Roman" w:cstheme="minorHAnsi"/>
                <w:bCs/>
                <w:lang w:eastAsia="hr-HR"/>
              </w:rPr>
            </w:pPr>
            <w:r w:rsidRPr="0091228A">
              <w:rPr>
                <w:rFonts w:eastAsia="Times New Roman" w:cstheme="minorHAnsi"/>
                <w:bCs/>
                <w:lang w:eastAsia="hr-HR"/>
              </w:rPr>
              <w:t xml:space="preserve">Mjera </w:t>
            </w:r>
            <w:r w:rsidR="005000C9" w:rsidRPr="0091228A">
              <w:rPr>
                <w:rFonts w:eastAsia="Times New Roman" w:cstheme="minorHAnsi"/>
                <w:bCs/>
                <w:lang w:eastAsia="hr-HR"/>
              </w:rPr>
              <w:t>11</w:t>
            </w:r>
            <w:r w:rsidRPr="0091228A">
              <w:rPr>
                <w:rFonts w:eastAsia="Times New Roman" w:cstheme="minorHAnsi"/>
                <w:bCs/>
                <w:lang w:eastAsia="hr-HR"/>
              </w:rPr>
              <w:t xml:space="preserve">.3. Ulaganje u cestovni, željeznički i riječni promet </w:t>
            </w:r>
          </w:p>
          <w:p w14:paraId="44E2FDF0" w14:textId="0B24ED3E" w:rsidR="00863DA2" w:rsidRPr="0091228A" w:rsidRDefault="00863DA2" w:rsidP="007510FD">
            <w:pPr>
              <w:spacing w:before="100" w:beforeAutospacing="1" w:after="100" w:afterAutospacing="1"/>
              <w:rPr>
                <w:rFonts w:eastAsia="Times New Roman" w:cstheme="minorHAnsi"/>
                <w:bCs/>
                <w:lang w:eastAsia="hr-HR"/>
              </w:rPr>
            </w:pPr>
            <w:r w:rsidRPr="0091228A">
              <w:rPr>
                <w:rFonts w:eastAsia="Times New Roman" w:cstheme="minorHAnsi"/>
                <w:bCs/>
                <w:lang w:eastAsia="hr-HR"/>
              </w:rPr>
              <w:t xml:space="preserve">Mjera </w:t>
            </w:r>
            <w:r w:rsidR="005000C9" w:rsidRPr="0091228A">
              <w:rPr>
                <w:rFonts w:eastAsia="Times New Roman" w:cstheme="minorHAnsi"/>
                <w:bCs/>
                <w:lang w:eastAsia="hr-HR"/>
              </w:rPr>
              <w:t>11</w:t>
            </w:r>
            <w:r w:rsidRPr="0091228A">
              <w:rPr>
                <w:rFonts w:eastAsia="Times New Roman" w:cstheme="minorHAnsi"/>
                <w:bCs/>
                <w:lang w:eastAsia="hr-HR"/>
              </w:rPr>
              <w:t>.4. Ulaganj</w:t>
            </w:r>
            <w:r w:rsidR="00AD5B31">
              <w:rPr>
                <w:rFonts w:eastAsia="Times New Roman" w:cstheme="minorHAnsi"/>
                <w:bCs/>
                <w:lang w:eastAsia="hr-HR"/>
              </w:rPr>
              <w:t>e</w:t>
            </w:r>
            <w:r w:rsidRPr="0091228A">
              <w:rPr>
                <w:rFonts w:eastAsia="Times New Roman" w:cstheme="minorHAnsi"/>
                <w:bCs/>
                <w:lang w:eastAsia="hr-HR"/>
              </w:rPr>
              <w:t xml:space="preserve"> u društvenu infrastrukturu </w:t>
            </w:r>
          </w:p>
          <w:p w14:paraId="5334AB7D" w14:textId="77777777" w:rsidR="00863DA2" w:rsidRPr="0091228A" w:rsidRDefault="00863DA2" w:rsidP="005000C9">
            <w:pPr>
              <w:rPr>
                <w:rFonts w:cstheme="minorHAnsi"/>
                <w:bCs/>
              </w:rPr>
            </w:pPr>
            <w:r w:rsidRPr="0091228A">
              <w:rPr>
                <w:rFonts w:eastAsia="Times New Roman" w:cstheme="minorHAnsi"/>
                <w:bCs/>
                <w:lang w:eastAsia="hr-HR"/>
              </w:rPr>
              <w:t xml:space="preserve">Mjera </w:t>
            </w:r>
            <w:r w:rsidR="005000C9" w:rsidRPr="0091228A">
              <w:rPr>
                <w:rFonts w:eastAsia="Times New Roman" w:cstheme="minorHAnsi"/>
                <w:bCs/>
                <w:lang w:eastAsia="hr-HR"/>
              </w:rPr>
              <w:t>11</w:t>
            </w:r>
            <w:r w:rsidRPr="0091228A">
              <w:rPr>
                <w:rFonts w:eastAsia="Times New Roman" w:cstheme="minorHAnsi"/>
                <w:bCs/>
                <w:lang w:eastAsia="hr-HR"/>
              </w:rPr>
              <w:t xml:space="preserve">.5. Ulaganje u infrastrukturu i dostupnost širokopojasnog interneta </w:t>
            </w:r>
          </w:p>
        </w:tc>
      </w:tr>
    </w:tbl>
    <w:p w14:paraId="1D6F93F7" w14:textId="77777777" w:rsidR="006F3FC9" w:rsidRPr="0091228A" w:rsidRDefault="006F3FC9" w:rsidP="00810B33">
      <w:pPr>
        <w:rPr>
          <w:rFonts w:cstheme="minorHAnsi"/>
          <w:b/>
          <w:bCs/>
        </w:rPr>
      </w:pPr>
    </w:p>
    <w:p w14:paraId="08E24CBD" w14:textId="77777777" w:rsidR="006F3FC9" w:rsidRPr="0091228A" w:rsidRDefault="006F3FC9" w:rsidP="00810B33">
      <w:pPr>
        <w:rPr>
          <w:rFonts w:cstheme="minorHAnsi"/>
          <w:b/>
          <w:bCs/>
        </w:rPr>
      </w:pPr>
    </w:p>
    <w:p w14:paraId="2BB5C9FB" w14:textId="7FE801C2" w:rsidR="00810B33" w:rsidRPr="0091228A" w:rsidRDefault="00810B33" w:rsidP="00810B33">
      <w:pPr>
        <w:rPr>
          <w:rFonts w:cstheme="minorHAnsi"/>
          <w:b/>
          <w:bCs/>
        </w:rPr>
      </w:pPr>
      <w:r w:rsidRPr="0091228A">
        <w:rPr>
          <w:rFonts w:cstheme="minorHAnsi"/>
          <w:b/>
          <w:bCs/>
        </w:rPr>
        <w:t xml:space="preserve">Posebni cilj </w:t>
      </w:r>
      <w:r w:rsidR="005000C9" w:rsidRPr="0091228A">
        <w:rPr>
          <w:rFonts w:cstheme="minorHAnsi"/>
          <w:b/>
          <w:bCs/>
        </w:rPr>
        <w:t>12</w:t>
      </w:r>
      <w:r w:rsidRPr="0091228A">
        <w:rPr>
          <w:rFonts w:cstheme="minorHAnsi"/>
          <w:b/>
          <w:bCs/>
        </w:rPr>
        <w:t xml:space="preserve">. Jačanje upravljanja razvojem </w:t>
      </w:r>
    </w:p>
    <w:p w14:paraId="39E32E61" w14:textId="38FEDAF9" w:rsidR="000A44A5" w:rsidRPr="0091228A" w:rsidRDefault="00A7276B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>Ovim se p</w:t>
      </w:r>
      <w:r w:rsidR="00810B33" w:rsidRPr="0091228A">
        <w:rPr>
          <w:rFonts w:cstheme="minorHAnsi"/>
        </w:rPr>
        <w:t>osebni</w:t>
      </w:r>
      <w:r w:rsidRPr="0091228A">
        <w:rPr>
          <w:rFonts w:cstheme="minorHAnsi"/>
        </w:rPr>
        <w:t xml:space="preserve">m ciljem </w:t>
      </w:r>
      <w:r w:rsidR="00810B33" w:rsidRPr="0091228A">
        <w:rPr>
          <w:rFonts w:cstheme="minorHAnsi"/>
        </w:rPr>
        <w:t>osigurava razvoj učinkovitog i djelotvornog pravosuđa, javne uprave i upravljanja državnom imovinom kao i omogućavanje kvalitetnog življenja kroz jačanje suradnje dionika u upravljanju razvojem, porast znanja i vještina djelatnika u javnoj upravi te jačanj</w:t>
      </w:r>
      <w:r w:rsidR="000A44A5" w:rsidRPr="0091228A">
        <w:rPr>
          <w:rFonts w:cstheme="minorHAnsi"/>
        </w:rPr>
        <w:t>e</w:t>
      </w:r>
      <w:r w:rsidR="00810B33" w:rsidRPr="0091228A">
        <w:rPr>
          <w:rFonts w:cstheme="minorHAnsi"/>
        </w:rPr>
        <w:t xml:space="preserve"> organizacija civilnog društva</w:t>
      </w:r>
      <w:r w:rsidRPr="0091228A">
        <w:rPr>
          <w:rFonts w:cstheme="minorHAnsi"/>
        </w:rPr>
        <w:t xml:space="preserve"> na području Županije</w:t>
      </w:r>
      <w:r w:rsidR="00810B33" w:rsidRPr="0091228A">
        <w:rPr>
          <w:rFonts w:cstheme="minorHAnsi"/>
        </w:rPr>
        <w:t>.</w:t>
      </w:r>
    </w:p>
    <w:p w14:paraId="5B7714BB" w14:textId="6411E533" w:rsidR="00810B33" w:rsidRPr="0091228A" w:rsidRDefault="000A44A5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lastRenderedPageBreak/>
        <w:t>S</w:t>
      </w:r>
      <w:r w:rsidR="00810B33" w:rsidRPr="0091228A">
        <w:rPr>
          <w:rFonts w:cstheme="minorHAnsi"/>
        </w:rPr>
        <w:t xml:space="preserve">uradnja županijskih tijela i regionalnog koordinatora </w:t>
      </w:r>
      <w:r w:rsidRPr="0091228A">
        <w:rPr>
          <w:rFonts w:cstheme="minorHAnsi"/>
        </w:rPr>
        <w:t xml:space="preserve">je vrlo </w:t>
      </w:r>
      <w:r w:rsidR="00810B33" w:rsidRPr="0091228A">
        <w:rPr>
          <w:rFonts w:cstheme="minorHAnsi"/>
        </w:rPr>
        <w:t xml:space="preserve"> razvijen</w:t>
      </w:r>
      <w:r w:rsidRPr="0091228A">
        <w:rPr>
          <w:rFonts w:cstheme="minorHAnsi"/>
        </w:rPr>
        <w:t>a</w:t>
      </w:r>
      <w:r w:rsidR="00810B33" w:rsidRPr="0091228A">
        <w:rPr>
          <w:rFonts w:cstheme="minorHAnsi"/>
        </w:rPr>
        <w:t xml:space="preserve">, kao što je to i  međunarodna suradnja u pripremi i provedbi razvojnih projekata. </w:t>
      </w:r>
      <w:r w:rsidR="00AD6053" w:rsidRPr="0091228A">
        <w:rPr>
          <w:rFonts w:cstheme="minorHAnsi"/>
        </w:rPr>
        <w:t xml:space="preserve">Za predstojeće razdoblje značajno je daljnje osnaživanje </w:t>
      </w:r>
      <w:r w:rsidR="00810B33" w:rsidRPr="0091228A">
        <w:rPr>
          <w:rFonts w:cstheme="minorHAnsi"/>
        </w:rPr>
        <w:t>participativne vladavine, uključivanje relevantnih dionika u pripremu i provedbu ključnih  županijskih projekata</w:t>
      </w:r>
      <w:r w:rsidR="00722012" w:rsidRPr="0091228A">
        <w:rPr>
          <w:rFonts w:cstheme="minorHAnsi"/>
        </w:rPr>
        <w:t>, d</w:t>
      </w:r>
      <w:r w:rsidR="00810B33" w:rsidRPr="0091228A">
        <w:rPr>
          <w:rFonts w:cstheme="minorHAnsi"/>
        </w:rPr>
        <w:t xml:space="preserve">aljnje poboljšanje kapaciteta, znanja </w:t>
      </w:r>
      <w:r w:rsidR="00722012" w:rsidRPr="0091228A">
        <w:rPr>
          <w:rFonts w:cstheme="minorHAnsi"/>
        </w:rPr>
        <w:t>kao</w:t>
      </w:r>
      <w:r w:rsidR="00F117A9">
        <w:rPr>
          <w:rFonts w:cstheme="minorHAnsi"/>
        </w:rPr>
        <w:t xml:space="preserve"> i</w:t>
      </w:r>
      <w:r w:rsidR="00722012" w:rsidRPr="0091228A">
        <w:rPr>
          <w:rFonts w:cstheme="minorHAnsi"/>
        </w:rPr>
        <w:t xml:space="preserve"> doprinos </w:t>
      </w:r>
      <w:r w:rsidR="00810B33" w:rsidRPr="0091228A">
        <w:rPr>
          <w:rFonts w:cstheme="minorHAnsi"/>
        </w:rPr>
        <w:t>uspješnoj realizaciji Plana razvoja Županije.</w:t>
      </w:r>
    </w:p>
    <w:p w14:paraId="02632D71" w14:textId="0D2B86F1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>Ukupni financijski okvir za provedb</w:t>
      </w:r>
      <w:r w:rsidR="00F117A9">
        <w:rPr>
          <w:rFonts w:eastAsia="Times New Roman" w:cstheme="minorHAnsi"/>
          <w:lang w:eastAsia="hr-HR"/>
        </w:rPr>
        <w:t>u</w:t>
      </w:r>
      <w:r w:rsidRPr="0091228A">
        <w:rPr>
          <w:rFonts w:eastAsia="Times New Roman" w:cstheme="minorHAnsi"/>
          <w:lang w:eastAsia="hr-HR"/>
        </w:rPr>
        <w:t xml:space="preserve"> </w:t>
      </w:r>
      <w:r w:rsidR="00AD6053" w:rsidRPr="0091228A">
        <w:rPr>
          <w:rFonts w:eastAsia="Times New Roman" w:cstheme="minorHAnsi"/>
          <w:lang w:eastAsia="hr-HR"/>
        </w:rPr>
        <w:t>o</w:t>
      </w:r>
      <w:r w:rsidRPr="0091228A">
        <w:rPr>
          <w:rFonts w:eastAsia="Times New Roman" w:cstheme="minorHAnsi"/>
          <w:lang w:eastAsia="hr-HR"/>
        </w:rPr>
        <w:t xml:space="preserve">vog posebnog cilja je </w:t>
      </w:r>
      <w:r w:rsidR="00256E48" w:rsidRPr="009820F7">
        <w:rPr>
          <w:rFonts w:eastAsia="Times New Roman" w:cstheme="minorHAnsi"/>
          <w:lang w:eastAsia="hr-HR"/>
        </w:rPr>
        <w:t>417.838.311,67 kn</w:t>
      </w:r>
      <w:r w:rsidR="00256E48">
        <w:rPr>
          <w:rFonts w:eastAsia="Times New Roman" w:cstheme="minorHAnsi"/>
          <w:lang w:eastAsia="hr-HR"/>
        </w:rPr>
        <w:t>.</w:t>
      </w:r>
    </w:p>
    <w:p w14:paraId="31D303EB" w14:textId="77777777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</w:p>
    <w:p w14:paraId="074A2D3D" w14:textId="1C46F884" w:rsidR="00810B33" w:rsidRPr="0075597A" w:rsidRDefault="00810B33" w:rsidP="00810B33">
      <w:pPr>
        <w:rPr>
          <w:rFonts w:cstheme="minorHAnsi"/>
          <w:iCs/>
        </w:rPr>
      </w:pPr>
      <w:r w:rsidRPr="0091228A">
        <w:rPr>
          <w:rFonts w:cstheme="minorHAnsi"/>
          <w:i/>
          <w:iCs/>
          <w:u w:val="single"/>
        </w:rPr>
        <w:t>Pokazatelji ishoda za posebni cilj:</w:t>
      </w:r>
      <w:r w:rsidR="0075597A">
        <w:rPr>
          <w:rFonts w:cstheme="minorHAnsi"/>
          <w:i/>
          <w:iCs/>
          <w:u w:val="single"/>
        </w:rPr>
        <w:t xml:space="preserve"> </w:t>
      </w:r>
      <w:r w:rsidR="0075597A" w:rsidRPr="0075597A">
        <w:rPr>
          <w:rFonts w:cstheme="minorHAnsi"/>
          <w:iCs/>
        </w:rPr>
        <w:t>0I.02.14.55 Ugovorena sredstva fondova EU u BDP</w:t>
      </w:r>
    </w:p>
    <w:p w14:paraId="610BA26A" w14:textId="77777777" w:rsidR="00756D40" w:rsidRPr="0091228A" w:rsidRDefault="00756D40" w:rsidP="00AD6053">
      <w:pPr>
        <w:jc w:val="both"/>
        <w:rPr>
          <w:rFonts w:cstheme="minorHAnsi"/>
        </w:rPr>
      </w:pPr>
    </w:p>
    <w:p w14:paraId="71BF2225" w14:textId="1F9DB7FA" w:rsidR="00AD6053" w:rsidRPr="0091228A" w:rsidRDefault="00AD6053" w:rsidP="00AD6053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Mjere pomoću kojih će se realizirati posebni cilj su sljedeće: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B3EDC" w:rsidRPr="0091228A" w14:paraId="4B669720" w14:textId="77777777" w:rsidTr="002559FF">
        <w:tc>
          <w:tcPr>
            <w:tcW w:w="2263" w:type="dxa"/>
            <w:vAlign w:val="center"/>
          </w:tcPr>
          <w:p w14:paraId="31F62EAD" w14:textId="77777777" w:rsidR="003B3EDC" w:rsidRPr="0091228A" w:rsidRDefault="005000C9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</w:rPr>
              <w:t>Posebni cilj 12</w:t>
            </w:r>
            <w:r w:rsidR="003B3EDC" w:rsidRPr="0091228A">
              <w:rPr>
                <w:rFonts w:cstheme="minorHAnsi"/>
                <w:b/>
              </w:rPr>
              <w:t xml:space="preserve">. </w:t>
            </w:r>
          </w:p>
          <w:p w14:paraId="4C6968C1" w14:textId="77777777" w:rsidR="003B3EDC" w:rsidRPr="0091228A" w:rsidRDefault="003B3EDC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  <w:bCs/>
              </w:rPr>
              <w:t>Jačanje upravljanja razvojem</w:t>
            </w:r>
          </w:p>
        </w:tc>
        <w:tc>
          <w:tcPr>
            <w:tcW w:w="6799" w:type="dxa"/>
          </w:tcPr>
          <w:p w14:paraId="02E4A004" w14:textId="77777777" w:rsidR="003B3EDC" w:rsidRPr="0091228A" w:rsidRDefault="003B3EDC" w:rsidP="007510FD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5000C9" w:rsidRPr="0091228A">
              <w:rPr>
                <w:rFonts w:cstheme="minorHAnsi"/>
                <w:bCs/>
              </w:rPr>
              <w:t>12</w:t>
            </w:r>
            <w:r w:rsidRPr="0091228A">
              <w:rPr>
                <w:rFonts w:cstheme="minorHAnsi"/>
                <w:bCs/>
              </w:rPr>
              <w:t>.1. Jačanje suradnje dionika u upravljanju razvojem</w:t>
            </w:r>
          </w:p>
          <w:p w14:paraId="556AD51A" w14:textId="2423454C" w:rsidR="003B3EDC" w:rsidRPr="0091228A" w:rsidRDefault="003B3EDC" w:rsidP="007510FD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5000C9" w:rsidRPr="0091228A">
              <w:rPr>
                <w:rFonts w:cstheme="minorHAnsi"/>
                <w:bCs/>
              </w:rPr>
              <w:t>12</w:t>
            </w:r>
            <w:r w:rsidRPr="0091228A">
              <w:rPr>
                <w:rFonts w:cstheme="minorHAnsi"/>
                <w:bCs/>
              </w:rPr>
              <w:t>.2. Porast znanja i vještina djelatnika u javnoj upravi na korist građana</w:t>
            </w:r>
          </w:p>
          <w:p w14:paraId="7E7E393B" w14:textId="77777777" w:rsidR="003B3EDC" w:rsidRPr="0091228A" w:rsidRDefault="003B3EDC" w:rsidP="005000C9">
            <w:pPr>
              <w:spacing w:before="100" w:beforeAutospacing="1" w:after="100" w:afterAutospacing="1"/>
              <w:rPr>
                <w:rFonts w:cstheme="minorHAnsi"/>
                <w:bCs/>
              </w:rPr>
            </w:pPr>
            <w:r w:rsidRPr="0091228A">
              <w:rPr>
                <w:rFonts w:eastAsia="Times New Roman" w:cstheme="minorHAnsi"/>
                <w:bCs/>
                <w:lang w:eastAsia="hr-HR"/>
              </w:rPr>
              <w:t xml:space="preserve">Mjera </w:t>
            </w:r>
            <w:r w:rsidR="005000C9" w:rsidRPr="0091228A">
              <w:rPr>
                <w:rFonts w:eastAsia="Times New Roman" w:cstheme="minorHAnsi"/>
                <w:bCs/>
                <w:lang w:eastAsia="hr-HR"/>
              </w:rPr>
              <w:t>12</w:t>
            </w:r>
            <w:r w:rsidRPr="0091228A">
              <w:rPr>
                <w:rFonts w:eastAsia="Times New Roman" w:cstheme="minorHAnsi"/>
                <w:bCs/>
                <w:lang w:eastAsia="hr-HR"/>
              </w:rPr>
              <w:t xml:space="preserve">.3. Jačanje organizacija civilnog društva </w:t>
            </w:r>
          </w:p>
        </w:tc>
      </w:tr>
    </w:tbl>
    <w:p w14:paraId="39C088DB" w14:textId="77777777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</w:p>
    <w:p w14:paraId="2A4F186B" w14:textId="77777777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</w:p>
    <w:p w14:paraId="37689910" w14:textId="70FDB58B" w:rsidR="00810B33" w:rsidRPr="0091228A" w:rsidRDefault="00810B33" w:rsidP="00810B33">
      <w:pPr>
        <w:rPr>
          <w:rFonts w:cstheme="minorHAnsi"/>
          <w:b/>
          <w:bCs/>
        </w:rPr>
      </w:pPr>
      <w:r w:rsidRPr="0091228A">
        <w:rPr>
          <w:rFonts w:cstheme="minorHAnsi"/>
          <w:b/>
          <w:bCs/>
        </w:rPr>
        <w:t xml:space="preserve">Posebni cilj </w:t>
      </w:r>
      <w:r w:rsidR="005000C9" w:rsidRPr="0091228A">
        <w:rPr>
          <w:rFonts w:cstheme="minorHAnsi"/>
          <w:b/>
          <w:bCs/>
        </w:rPr>
        <w:t>13</w:t>
      </w:r>
      <w:r w:rsidRPr="0091228A">
        <w:rPr>
          <w:rFonts w:cstheme="minorHAnsi"/>
          <w:b/>
          <w:bCs/>
        </w:rPr>
        <w:t>. Razvoj potpomognutih područja + ITU</w:t>
      </w:r>
    </w:p>
    <w:p w14:paraId="12EB4A2E" w14:textId="00A7BD47" w:rsidR="00810B33" w:rsidRPr="0091228A" w:rsidRDefault="00810B33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Posebni cilj </w:t>
      </w:r>
      <w:r w:rsidR="005000C9" w:rsidRPr="0091228A">
        <w:rPr>
          <w:rFonts w:cstheme="minorHAnsi"/>
        </w:rPr>
        <w:t>13</w:t>
      </w:r>
      <w:r w:rsidRPr="0091228A">
        <w:rPr>
          <w:rFonts w:cstheme="minorHAnsi"/>
        </w:rPr>
        <w:t xml:space="preserve"> osigurava ravnomjeran razvoj svih dijelova BPŽ</w:t>
      </w:r>
      <w:r w:rsidR="00F117A9">
        <w:rPr>
          <w:rFonts w:cstheme="minorHAnsi"/>
        </w:rPr>
        <w:t>-a</w:t>
      </w:r>
      <w:r w:rsidRPr="0091228A">
        <w:rPr>
          <w:rFonts w:cstheme="minorHAnsi"/>
        </w:rPr>
        <w:t xml:space="preserve"> putem poticanja intervencija u potpomognutim područjima te kroz poticanje integriranih teritorijalnih ulaganja.</w:t>
      </w:r>
    </w:p>
    <w:p w14:paraId="67898CB1" w14:textId="4636CE8F" w:rsidR="00810B33" w:rsidRPr="0091228A" w:rsidRDefault="00810B33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Brodsko-posavsku županiju karakteriziraju povoljan položaj dvaju gradskih sjedišta, dovoljni prostorni kapaciteti za razvoj naselja i gospodarstva, izrada planova urbane sanacije i revitalizacija </w:t>
      </w:r>
      <w:r w:rsidRPr="0091228A">
        <w:rPr>
          <w:rFonts w:cstheme="minorHAnsi"/>
          <w:i/>
          <w:iCs/>
        </w:rPr>
        <w:t>brownfield</w:t>
      </w:r>
      <w:r w:rsidRPr="0091228A">
        <w:rPr>
          <w:rFonts w:cstheme="minorHAnsi"/>
        </w:rPr>
        <w:t xml:space="preserve"> prostora te proaktivan stav prema klimatskim promjenama. Spomenuta obilježja  osnova su  za razvoj gradova i općinskih središta  te za  uređenja ruralnih naselja kao prostora koji je pretpostavka  za kvalitetan život, razvoj održivog gospodarstva </w:t>
      </w:r>
      <w:r w:rsidR="00C671B9">
        <w:rPr>
          <w:rFonts w:cstheme="minorHAnsi"/>
        </w:rPr>
        <w:t>te</w:t>
      </w:r>
      <w:r w:rsidRPr="0091228A">
        <w:rPr>
          <w:rFonts w:cstheme="minorHAnsi"/>
        </w:rPr>
        <w:t xml:space="preserve"> održivog korištenja prirodnih vrijednosti i kulturne baštine. </w:t>
      </w:r>
    </w:p>
    <w:p w14:paraId="22E7552B" w14:textId="3D9B9B46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C5234C">
        <w:rPr>
          <w:rFonts w:eastAsia="Times New Roman" w:cstheme="minorHAnsi"/>
          <w:lang w:eastAsia="hr-HR"/>
        </w:rPr>
        <w:t>Ukupni financijski okvir za provedb</w:t>
      </w:r>
      <w:r w:rsidR="00C671B9" w:rsidRPr="00C5234C">
        <w:rPr>
          <w:rFonts w:eastAsia="Times New Roman" w:cstheme="minorHAnsi"/>
          <w:lang w:eastAsia="hr-HR"/>
        </w:rPr>
        <w:t>u</w:t>
      </w:r>
      <w:r w:rsidRPr="00C5234C">
        <w:rPr>
          <w:rFonts w:eastAsia="Times New Roman" w:cstheme="minorHAnsi"/>
          <w:lang w:eastAsia="hr-HR"/>
        </w:rPr>
        <w:t xml:space="preserve"> </w:t>
      </w:r>
      <w:r w:rsidR="00AD6053" w:rsidRPr="00C5234C">
        <w:rPr>
          <w:rFonts w:eastAsia="Times New Roman" w:cstheme="minorHAnsi"/>
          <w:lang w:eastAsia="hr-HR"/>
        </w:rPr>
        <w:t>o</w:t>
      </w:r>
      <w:r w:rsidRPr="00C5234C">
        <w:rPr>
          <w:rFonts w:eastAsia="Times New Roman" w:cstheme="minorHAnsi"/>
          <w:lang w:eastAsia="hr-HR"/>
        </w:rPr>
        <w:t xml:space="preserve">vog posebnog cilja je </w:t>
      </w:r>
      <w:r w:rsidR="00256E48" w:rsidRPr="00C5234C">
        <w:rPr>
          <w:rFonts w:eastAsia="Times New Roman" w:cstheme="minorHAnsi"/>
          <w:lang w:eastAsia="hr-HR"/>
        </w:rPr>
        <w:t>18.880.000,00 kn</w:t>
      </w:r>
      <w:r w:rsidRPr="00C5234C">
        <w:rPr>
          <w:rFonts w:eastAsia="Times New Roman" w:cstheme="minorHAnsi"/>
          <w:lang w:eastAsia="hr-HR"/>
        </w:rPr>
        <w:t>.</w:t>
      </w:r>
    </w:p>
    <w:p w14:paraId="1FBB178F" w14:textId="77777777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</w:p>
    <w:p w14:paraId="6783809E" w14:textId="0075E275" w:rsidR="00810B33" w:rsidRPr="0075597A" w:rsidRDefault="00810B33" w:rsidP="00810B33">
      <w:pPr>
        <w:jc w:val="both"/>
        <w:rPr>
          <w:rFonts w:cstheme="minorHAnsi"/>
          <w:iCs/>
        </w:rPr>
      </w:pPr>
      <w:r w:rsidRPr="0075597A">
        <w:rPr>
          <w:rFonts w:cstheme="minorHAnsi"/>
          <w:i/>
          <w:iCs/>
          <w:u w:val="single"/>
        </w:rPr>
        <w:t>Pokazatelji ishoda za posebni cilj:</w:t>
      </w:r>
      <w:r w:rsidR="0075597A" w:rsidRPr="0075597A">
        <w:t xml:space="preserve"> </w:t>
      </w:r>
      <w:r w:rsidR="0075597A" w:rsidRPr="0075597A">
        <w:rPr>
          <w:rFonts w:cstheme="minorHAnsi"/>
          <w:iCs/>
        </w:rPr>
        <w:t>OI.02.13.09 Stanovništvo koje živi u područjima s integriranim strategijama urbanog razvoja</w:t>
      </w:r>
    </w:p>
    <w:p w14:paraId="5878D439" w14:textId="2E728193" w:rsidR="00C671B9" w:rsidRPr="0091228A" w:rsidRDefault="00C671B9" w:rsidP="00810B33">
      <w:pPr>
        <w:jc w:val="both"/>
        <w:rPr>
          <w:rFonts w:cstheme="minorHAnsi"/>
        </w:rPr>
      </w:pPr>
      <w:r w:rsidRPr="0091228A">
        <w:rPr>
          <w:rFonts w:cstheme="minorHAnsi"/>
        </w:rPr>
        <w:t>Mjere pomoću kojih će se realizirati posebni cilj su sljedeće:</w:t>
      </w:r>
    </w:p>
    <w:p w14:paraId="790BDB59" w14:textId="77777777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B3EDC" w:rsidRPr="0091228A" w14:paraId="4EAA3D08" w14:textId="77777777" w:rsidTr="00A55D84">
        <w:trPr>
          <w:trHeight w:val="1012"/>
        </w:trPr>
        <w:tc>
          <w:tcPr>
            <w:tcW w:w="2263" w:type="dxa"/>
            <w:vAlign w:val="center"/>
          </w:tcPr>
          <w:p w14:paraId="56EAD4C0" w14:textId="77777777" w:rsidR="003B3EDC" w:rsidRPr="0091228A" w:rsidRDefault="005000C9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</w:rPr>
              <w:t>Posebni cilj 13</w:t>
            </w:r>
            <w:r w:rsidR="003B3EDC" w:rsidRPr="0091228A">
              <w:rPr>
                <w:rFonts w:cstheme="minorHAnsi"/>
                <w:b/>
              </w:rPr>
              <w:t xml:space="preserve">. </w:t>
            </w:r>
          </w:p>
          <w:p w14:paraId="09F0A77D" w14:textId="77777777" w:rsidR="003B3EDC" w:rsidRPr="0091228A" w:rsidRDefault="003B3EDC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  <w:bCs/>
              </w:rPr>
              <w:t>Razvoj potpomognutih područja + ITU</w:t>
            </w:r>
          </w:p>
        </w:tc>
        <w:tc>
          <w:tcPr>
            <w:tcW w:w="6799" w:type="dxa"/>
          </w:tcPr>
          <w:p w14:paraId="705622CD" w14:textId="77777777" w:rsidR="003B3EDC" w:rsidRPr="0091228A" w:rsidRDefault="003B3EDC" w:rsidP="007510FD">
            <w:pPr>
              <w:jc w:val="both"/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>Mjera</w:t>
            </w:r>
            <w:r w:rsidR="005000C9" w:rsidRPr="0091228A">
              <w:rPr>
                <w:rFonts w:cstheme="minorHAnsi"/>
                <w:bCs/>
              </w:rPr>
              <w:t xml:space="preserve">  13</w:t>
            </w:r>
            <w:r w:rsidRPr="0091228A">
              <w:rPr>
                <w:rFonts w:cstheme="minorHAnsi"/>
                <w:bCs/>
              </w:rPr>
              <w:t xml:space="preserve">.1. Poticanje intervencija u potpomognutim područjima </w:t>
            </w:r>
          </w:p>
          <w:p w14:paraId="1CA3B02C" w14:textId="77777777" w:rsidR="003B3EDC" w:rsidRPr="0091228A" w:rsidRDefault="003B3EDC" w:rsidP="005000C9">
            <w:pPr>
              <w:jc w:val="both"/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5000C9" w:rsidRPr="0091228A">
              <w:rPr>
                <w:rFonts w:cstheme="minorHAnsi"/>
                <w:bCs/>
              </w:rPr>
              <w:t>13</w:t>
            </w:r>
            <w:r w:rsidRPr="0091228A">
              <w:rPr>
                <w:rFonts w:cstheme="minorHAnsi"/>
                <w:bCs/>
              </w:rPr>
              <w:t xml:space="preserve">.2. Poticanje integriranih teritorijalnih ulaganja </w:t>
            </w:r>
          </w:p>
        </w:tc>
      </w:tr>
    </w:tbl>
    <w:p w14:paraId="73F44CD2" w14:textId="77777777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</w:p>
    <w:p w14:paraId="184E40AB" w14:textId="77777777" w:rsidR="009F46D6" w:rsidRPr="0091228A" w:rsidRDefault="009F46D6" w:rsidP="00810B33">
      <w:pPr>
        <w:jc w:val="both"/>
        <w:rPr>
          <w:rFonts w:eastAsia="Times New Roman" w:cstheme="minorHAnsi"/>
          <w:lang w:eastAsia="hr-HR"/>
        </w:rPr>
      </w:pPr>
    </w:p>
    <w:p w14:paraId="78CDF9F6" w14:textId="77777777" w:rsidR="00502EED" w:rsidRDefault="00502EED" w:rsidP="00810B33">
      <w:pPr>
        <w:rPr>
          <w:rFonts w:eastAsia="Times New Roman" w:cstheme="minorHAnsi"/>
          <w:b/>
          <w:bCs/>
          <w:lang w:eastAsia="hr-HR"/>
        </w:rPr>
      </w:pPr>
    </w:p>
    <w:p w14:paraId="15F18D79" w14:textId="77777777" w:rsidR="00502EED" w:rsidRDefault="00502EED" w:rsidP="00810B33">
      <w:pPr>
        <w:rPr>
          <w:rFonts w:eastAsia="Times New Roman" w:cstheme="minorHAnsi"/>
          <w:b/>
          <w:bCs/>
          <w:lang w:eastAsia="hr-HR"/>
        </w:rPr>
      </w:pPr>
    </w:p>
    <w:p w14:paraId="4EF4045D" w14:textId="77777777" w:rsidR="00502EED" w:rsidRDefault="00502EED" w:rsidP="00810B33">
      <w:pPr>
        <w:rPr>
          <w:rFonts w:eastAsia="Times New Roman" w:cstheme="minorHAnsi"/>
          <w:b/>
          <w:bCs/>
          <w:lang w:eastAsia="hr-HR"/>
        </w:rPr>
      </w:pPr>
    </w:p>
    <w:p w14:paraId="0CB446A6" w14:textId="77777777" w:rsidR="00502EED" w:rsidRDefault="00502EED" w:rsidP="00810B33">
      <w:pPr>
        <w:rPr>
          <w:rFonts w:eastAsia="Times New Roman" w:cstheme="minorHAnsi"/>
          <w:b/>
          <w:bCs/>
          <w:lang w:eastAsia="hr-HR"/>
        </w:rPr>
      </w:pPr>
    </w:p>
    <w:p w14:paraId="2D792950" w14:textId="0258334A" w:rsidR="00810B33" w:rsidRPr="0091228A" w:rsidRDefault="00810B33" w:rsidP="00810B33">
      <w:pPr>
        <w:rPr>
          <w:rFonts w:eastAsia="Times New Roman" w:cstheme="minorHAnsi"/>
          <w:b/>
          <w:bCs/>
          <w:lang w:eastAsia="hr-HR"/>
        </w:rPr>
      </w:pPr>
      <w:r w:rsidRPr="0091228A">
        <w:rPr>
          <w:rFonts w:eastAsia="Times New Roman" w:cstheme="minorHAnsi"/>
          <w:b/>
          <w:bCs/>
          <w:lang w:eastAsia="hr-HR"/>
        </w:rPr>
        <w:t xml:space="preserve">Posebni cilj </w:t>
      </w:r>
      <w:r w:rsidR="005000C9" w:rsidRPr="0091228A">
        <w:rPr>
          <w:rFonts w:eastAsia="Times New Roman" w:cstheme="minorHAnsi"/>
          <w:b/>
          <w:bCs/>
          <w:lang w:eastAsia="hr-HR"/>
        </w:rPr>
        <w:t>14</w:t>
      </w:r>
      <w:r w:rsidRPr="0091228A">
        <w:rPr>
          <w:rFonts w:eastAsia="Times New Roman" w:cstheme="minorHAnsi"/>
          <w:b/>
          <w:bCs/>
          <w:lang w:eastAsia="hr-HR"/>
        </w:rPr>
        <w:t xml:space="preserve">. Jačanje spremnosti na okolišne i sigurnosne izazove </w:t>
      </w:r>
    </w:p>
    <w:p w14:paraId="61C6D9EF" w14:textId="01E6C4E3" w:rsidR="00810B33" w:rsidRPr="0091228A" w:rsidRDefault="00AD605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>Posljednji p</w:t>
      </w:r>
      <w:r w:rsidR="00810B33" w:rsidRPr="0091228A">
        <w:rPr>
          <w:rFonts w:eastAsia="Times New Roman" w:cstheme="minorHAnsi"/>
          <w:lang w:eastAsia="hr-HR"/>
        </w:rPr>
        <w:t>osebni cilj</w:t>
      </w:r>
      <w:r w:rsidR="005000C9" w:rsidRPr="0091228A">
        <w:rPr>
          <w:rFonts w:eastAsia="Times New Roman" w:cstheme="minorHAnsi"/>
          <w:lang w:eastAsia="hr-HR"/>
        </w:rPr>
        <w:t xml:space="preserve"> </w:t>
      </w:r>
      <w:r w:rsidRPr="0091228A">
        <w:rPr>
          <w:rFonts w:eastAsia="Times New Roman" w:cstheme="minorHAnsi"/>
          <w:lang w:eastAsia="hr-HR"/>
        </w:rPr>
        <w:t xml:space="preserve"> </w:t>
      </w:r>
      <w:r w:rsidR="00810B33" w:rsidRPr="0091228A">
        <w:rPr>
          <w:rFonts w:eastAsia="Times New Roman" w:cstheme="minorHAnsi"/>
          <w:lang w:eastAsia="hr-HR"/>
        </w:rPr>
        <w:t>treba osigurati pravovremenu reakciju na okolišne i sigurnosne izazove koji stoje pred BPŽ</w:t>
      </w:r>
      <w:r w:rsidR="00932ACA">
        <w:rPr>
          <w:rFonts w:eastAsia="Times New Roman" w:cstheme="minorHAnsi"/>
          <w:lang w:eastAsia="hr-HR"/>
        </w:rPr>
        <w:t>-om</w:t>
      </w:r>
      <w:r w:rsidR="00810B33" w:rsidRPr="0091228A">
        <w:rPr>
          <w:rFonts w:eastAsia="Times New Roman" w:cstheme="minorHAnsi"/>
          <w:lang w:eastAsia="hr-HR"/>
        </w:rPr>
        <w:t xml:space="preserve"> putem unapređenja sustava zaštite od elementarnih nepogoda, jačanja otpornosti na klimatske promjene te unapređenja kvalitete zraka, tla i vode.</w:t>
      </w:r>
    </w:p>
    <w:p w14:paraId="24A38450" w14:textId="33FA9CA9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 xml:space="preserve">Položaj na kojem je smještena Brodsko-posavska županija, ravničarski dio uz rijeku Savu znači da je podložna elementarnim nepogodama odnosno čestim poplavama, ali i smanjenom kvalitetom zraka, tla i vode. </w:t>
      </w:r>
      <w:r w:rsidR="000A44A5" w:rsidRPr="0091228A">
        <w:rPr>
          <w:rFonts w:eastAsia="Times New Roman" w:cstheme="minorHAnsi"/>
          <w:lang w:eastAsia="hr-HR"/>
        </w:rPr>
        <w:t xml:space="preserve"> </w:t>
      </w:r>
      <w:r w:rsidR="00AD6053" w:rsidRPr="0091228A">
        <w:rPr>
          <w:rFonts w:eastAsia="Times New Roman" w:cstheme="minorHAnsi"/>
          <w:lang w:eastAsia="hr-HR"/>
        </w:rPr>
        <w:t>K</w:t>
      </w:r>
      <w:r w:rsidRPr="0091228A">
        <w:rPr>
          <w:rFonts w:eastAsia="Times New Roman" w:cstheme="minorHAnsi"/>
          <w:lang w:eastAsia="hr-HR"/>
        </w:rPr>
        <w:t>roz pravovremene i djelotvorne reakcije na sve izazove koji su pred Županijom</w:t>
      </w:r>
      <w:r w:rsidR="00AD6053" w:rsidRPr="0091228A">
        <w:rPr>
          <w:rFonts w:eastAsia="Times New Roman" w:cstheme="minorHAnsi"/>
          <w:lang w:eastAsia="hr-HR"/>
        </w:rPr>
        <w:t xml:space="preserve">, ovim će se posebnim ciljem </w:t>
      </w:r>
      <w:r w:rsidRPr="0091228A">
        <w:rPr>
          <w:rFonts w:eastAsia="Times New Roman" w:cstheme="minorHAnsi"/>
          <w:lang w:eastAsia="hr-HR"/>
        </w:rPr>
        <w:t xml:space="preserve"> osnaživati  stabilnost ekosustava i očuvanje prirodnog bogatstva Županije za današnje i buduće generacije.</w:t>
      </w:r>
    </w:p>
    <w:p w14:paraId="3017A66A" w14:textId="239E380E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>Ukupni financijski okvir za provedb</w:t>
      </w:r>
      <w:r w:rsidR="00932ACA">
        <w:rPr>
          <w:rFonts w:eastAsia="Times New Roman" w:cstheme="minorHAnsi"/>
          <w:lang w:eastAsia="hr-HR"/>
        </w:rPr>
        <w:t>u</w:t>
      </w:r>
      <w:r w:rsidRPr="0091228A">
        <w:rPr>
          <w:rFonts w:eastAsia="Times New Roman" w:cstheme="minorHAnsi"/>
          <w:lang w:eastAsia="hr-HR"/>
        </w:rPr>
        <w:t xml:space="preserve"> </w:t>
      </w:r>
      <w:r w:rsidR="00F6340E" w:rsidRPr="0091228A">
        <w:rPr>
          <w:rFonts w:eastAsia="Times New Roman" w:cstheme="minorHAnsi"/>
          <w:lang w:eastAsia="hr-HR"/>
        </w:rPr>
        <w:t>o</w:t>
      </w:r>
      <w:r w:rsidRPr="0091228A">
        <w:rPr>
          <w:rFonts w:eastAsia="Times New Roman" w:cstheme="minorHAnsi"/>
          <w:lang w:eastAsia="hr-HR"/>
        </w:rPr>
        <w:t xml:space="preserve">vog posebnog cilja je </w:t>
      </w:r>
      <w:r w:rsidR="00256E48" w:rsidRPr="00256E48">
        <w:rPr>
          <w:rFonts w:eastAsia="Times New Roman" w:cstheme="minorHAnsi"/>
          <w:lang w:eastAsia="hr-HR"/>
        </w:rPr>
        <w:t>17.176.500,00 kn.</w:t>
      </w:r>
    </w:p>
    <w:p w14:paraId="1657F093" w14:textId="77777777" w:rsidR="00810B33" w:rsidRPr="0091228A" w:rsidRDefault="00810B33" w:rsidP="00810B33">
      <w:pPr>
        <w:jc w:val="both"/>
        <w:rPr>
          <w:rFonts w:eastAsia="Times New Roman" w:cstheme="minorHAnsi"/>
          <w:lang w:eastAsia="hr-HR"/>
        </w:rPr>
      </w:pPr>
    </w:p>
    <w:p w14:paraId="46B4F67E" w14:textId="77777777" w:rsidR="00810B33" w:rsidRPr="0091228A" w:rsidRDefault="00810B33" w:rsidP="00810B33">
      <w:pPr>
        <w:jc w:val="both"/>
        <w:rPr>
          <w:rFonts w:eastAsia="Times New Roman" w:cstheme="minorHAnsi"/>
          <w:i/>
          <w:iCs/>
          <w:u w:val="single"/>
          <w:lang w:eastAsia="hr-HR"/>
        </w:rPr>
      </w:pPr>
      <w:r w:rsidRPr="0091228A">
        <w:rPr>
          <w:rFonts w:eastAsia="Times New Roman" w:cstheme="minorHAnsi"/>
          <w:i/>
          <w:iCs/>
          <w:u w:val="single"/>
          <w:lang w:eastAsia="hr-HR"/>
        </w:rPr>
        <w:t>Pokazatelji ishoda za posebni cilj:</w:t>
      </w:r>
    </w:p>
    <w:p w14:paraId="2761175E" w14:textId="64AA020C" w:rsidR="00810B33" w:rsidRDefault="00810B33" w:rsidP="00810B33">
      <w:pPr>
        <w:jc w:val="both"/>
        <w:rPr>
          <w:rFonts w:eastAsia="Times New Roman" w:cstheme="minorHAnsi"/>
          <w:lang w:eastAsia="hr-HR"/>
        </w:rPr>
      </w:pPr>
      <w:r w:rsidRPr="0091228A">
        <w:rPr>
          <w:rFonts w:eastAsia="Times New Roman" w:cstheme="minorHAnsi"/>
          <w:lang w:eastAsia="hr-HR"/>
        </w:rPr>
        <w:t>OI.02.10.30 Brzina odgovora na sigurnosne prijetnje</w:t>
      </w:r>
    </w:p>
    <w:p w14:paraId="1D4795D5" w14:textId="2B31298B" w:rsidR="00D24EFD" w:rsidRDefault="00D24EFD" w:rsidP="00D24EFD">
      <w:pPr>
        <w:jc w:val="both"/>
        <w:rPr>
          <w:rFonts w:cstheme="minorHAnsi"/>
        </w:rPr>
      </w:pPr>
    </w:p>
    <w:p w14:paraId="239EFDEC" w14:textId="77777777" w:rsidR="00BD08B2" w:rsidRPr="0091228A" w:rsidRDefault="00BD08B2" w:rsidP="00AD6053">
      <w:pPr>
        <w:jc w:val="both"/>
        <w:rPr>
          <w:rFonts w:cstheme="minorHAnsi"/>
        </w:rPr>
      </w:pPr>
    </w:p>
    <w:p w14:paraId="67B4D013" w14:textId="2384B7B3" w:rsidR="00AD6053" w:rsidRPr="0091228A" w:rsidRDefault="00AD6053" w:rsidP="00AD6053">
      <w:pPr>
        <w:jc w:val="both"/>
        <w:rPr>
          <w:rFonts w:cstheme="minorHAnsi"/>
          <w:i/>
          <w:iCs/>
          <w:u w:val="single"/>
        </w:rPr>
      </w:pPr>
      <w:r w:rsidRPr="0091228A">
        <w:rPr>
          <w:rFonts w:cstheme="minorHAnsi"/>
        </w:rPr>
        <w:t xml:space="preserve">Mjere pomoću kojih će se realizirati posebni cilj su sljedeće: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B3EDC" w:rsidRPr="0091228A" w14:paraId="2F6D4A1A" w14:textId="77777777" w:rsidTr="002559FF">
        <w:tc>
          <w:tcPr>
            <w:tcW w:w="2263" w:type="dxa"/>
            <w:vAlign w:val="center"/>
          </w:tcPr>
          <w:p w14:paraId="0C8AFD96" w14:textId="77777777" w:rsidR="003B3EDC" w:rsidRPr="0091228A" w:rsidRDefault="003B3EDC" w:rsidP="007510FD">
            <w:pPr>
              <w:rPr>
                <w:rFonts w:cstheme="minorHAnsi"/>
                <w:b/>
              </w:rPr>
            </w:pPr>
            <w:r w:rsidRPr="0091228A">
              <w:rPr>
                <w:rFonts w:cstheme="minorHAnsi"/>
                <w:b/>
              </w:rPr>
              <w:t xml:space="preserve">Posebni cilj </w:t>
            </w:r>
            <w:r w:rsidR="005000C9" w:rsidRPr="0091228A">
              <w:rPr>
                <w:rFonts w:cstheme="minorHAnsi"/>
                <w:b/>
              </w:rPr>
              <w:t>1</w:t>
            </w:r>
            <w:r w:rsidRPr="0091228A">
              <w:rPr>
                <w:rFonts w:cstheme="minorHAnsi"/>
                <w:b/>
              </w:rPr>
              <w:t xml:space="preserve">4. </w:t>
            </w:r>
          </w:p>
          <w:p w14:paraId="4B2F25CE" w14:textId="77777777" w:rsidR="003B3EDC" w:rsidRPr="0091228A" w:rsidRDefault="003B3EDC" w:rsidP="007510FD">
            <w:pPr>
              <w:rPr>
                <w:rFonts w:cstheme="minorHAnsi"/>
                <w:b/>
                <w:color w:val="FF0000"/>
              </w:rPr>
            </w:pPr>
            <w:r w:rsidRPr="0091228A">
              <w:rPr>
                <w:rFonts w:eastAsia="Times New Roman" w:cstheme="minorHAnsi"/>
                <w:b/>
                <w:bCs/>
                <w:lang w:eastAsia="hr-HR"/>
              </w:rPr>
              <w:t>Jačanje spremnosti na okolišne i sigurnosne izazove</w:t>
            </w:r>
          </w:p>
        </w:tc>
        <w:tc>
          <w:tcPr>
            <w:tcW w:w="6799" w:type="dxa"/>
          </w:tcPr>
          <w:p w14:paraId="6ACA2028" w14:textId="77777777" w:rsidR="003B3EDC" w:rsidRPr="0091228A" w:rsidRDefault="003B3EDC" w:rsidP="007510FD">
            <w:pPr>
              <w:spacing w:before="100" w:beforeAutospacing="1" w:after="100" w:afterAutospacing="1"/>
              <w:rPr>
                <w:rFonts w:eastAsia="Times New Roman" w:cstheme="minorHAnsi"/>
                <w:bCs/>
                <w:lang w:eastAsia="hr-HR"/>
              </w:rPr>
            </w:pPr>
            <w:r w:rsidRPr="0091228A">
              <w:rPr>
                <w:rFonts w:eastAsia="Times New Roman" w:cstheme="minorHAnsi"/>
                <w:bCs/>
                <w:lang w:eastAsia="hr-HR"/>
              </w:rPr>
              <w:t xml:space="preserve">Mjera </w:t>
            </w:r>
            <w:r w:rsidR="005000C9" w:rsidRPr="0091228A">
              <w:rPr>
                <w:rFonts w:eastAsia="Times New Roman" w:cstheme="minorHAnsi"/>
                <w:bCs/>
                <w:lang w:eastAsia="hr-HR"/>
              </w:rPr>
              <w:t>1</w:t>
            </w:r>
            <w:r w:rsidRPr="0091228A">
              <w:rPr>
                <w:rFonts w:eastAsia="Times New Roman" w:cstheme="minorHAnsi"/>
                <w:bCs/>
                <w:lang w:eastAsia="hr-HR"/>
              </w:rPr>
              <w:t xml:space="preserve">4.1. Unapređenje sustava zaštite od elementarnih nepogoda </w:t>
            </w:r>
          </w:p>
          <w:p w14:paraId="674093F1" w14:textId="77777777" w:rsidR="003B3EDC" w:rsidRPr="0091228A" w:rsidRDefault="003B3EDC" w:rsidP="007510FD">
            <w:pPr>
              <w:rPr>
                <w:rFonts w:cstheme="minorHAnsi"/>
                <w:bCs/>
              </w:rPr>
            </w:pPr>
            <w:r w:rsidRPr="0091228A">
              <w:rPr>
                <w:rFonts w:cstheme="minorHAnsi"/>
                <w:bCs/>
              </w:rPr>
              <w:t xml:space="preserve">Mjera </w:t>
            </w:r>
            <w:r w:rsidR="005000C9" w:rsidRPr="0091228A">
              <w:rPr>
                <w:rFonts w:cstheme="minorHAnsi"/>
                <w:bCs/>
              </w:rPr>
              <w:t>1</w:t>
            </w:r>
            <w:r w:rsidRPr="0091228A">
              <w:rPr>
                <w:rFonts w:cstheme="minorHAnsi"/>
                <w:bCs/>
              </w:rPr>
              <w:t xml:space="preserve">4.2. Jačanje otpornosti na klimatske promjene </w:t>
            </w:r>
          </w:p>
          <w:p w14:paraId="337876AB" w14:textId="35880D1E" w:rsidR="003B3EDC" w:rsidRPr="0091228A" w:rsidRDefault="003B3EDC" w:rsidP="005000C9">
            <w:pPr>
              <w:spacing w:before="100" w:beforeAutospacing="1" w:after="100" w:afterAutospacing="1"/>
              <w:rPr>
                <w:rFonts w:eastAsia="Times New Roman" w:cstheme="minorHAnsi"/>
                <w:bCs/>
                <w:lang w:eastAsia="hr-HR"/>
              </w:rPr>
            </w:pPr>
            <w:r w:rsidRPr="0091228A">
              <w:rPr>
                <w:rFonts w:eastAsia="Times New Roman" w:cstheme="minorHAnsi"/>
                <w:bCs/>
                <w:lang w:eastAsia="hr-HR"/>
              </w:rPr>
              <w:t xml:space="preserve">Mjera </w:t>
            </w:r>
            <w:r w:rsidR="005000C9" w:rsidRPr="0091228A">
              <w:rPr>
                <w:rFonts w:eastAsia="Times New Roman" w:cstheme="minorHAnsi"/>
                <w:bCs/>
                <w:lang w:eastAsia="hr-HR"/>
              </w:rPr>
              <w:t>1</w:t>
            </w:r>
            <w:r w:rsidRPr="0091228A">
              <w:rPr>
                <w:rFonts w:eastAsia="Times New Roman" w:cstheme="minorHAnsi"/>
                <w:bCs/>
                <w:lang w:eastAsia="hr-HR"/>
              </w:rPr>
              <w:t xml:space="preserve">4.3. Unapređenje kvalitete zraka, tla i vode </w:t>
            </w:r>
          </w:p>
        </w:tc>
      </w:tr>
    </w:tbl>
    <w:p w14:paraId="16817546" w14:textId="4D73AB62" w:rsidR="00810B33" w:rsidRDefault="00810B33" w:rsidP="00810B33">
      <w:pPr>
        <w:rPr>
          <w:rFonts w:cstheme="minorHAnsi"/>
          <w:b/>
        </w:rPr>
      </w:pPr>
    </w:p>
    <w:p w14:paraId="6982BB9F" w14:textId="5764A79D" w:rsidR="00502EED" w:rsidRDefault="00502EED" w:rsidP="00810B33">
      <w:pPr>
        <w:rPr>
          <w:rFonts w:cstheme="minorHAnsi"/>
          <w:b/>
        </w:rPr>
      </w:pPr>
    </w:p>
    <w:p w14:paraId="4B7F1E9B" w14:textId="1315C9AB" w:rsidR="00502EED" w:rsidRDefault="00502EED" w:rsidP="00810B33">
      <w:pPr>
        <w:rPr>
          <w:rFonts w:cstheme="minorHAnsi"/>
          <w:b/>
        </w:rPr>
      </w:pPr>
    </w:p>
    <w:p w14:paraId="45E672D2" w14:textId="5D55258E" w:rsidR="00502EED" w:rsidRDefault="00502EED" w:rsidP="00810B33">
      <w:pPr>
        <w:rPr>
          <w:rFonts w:cstheme="minorHAnsi"/>
          <w:b/>
        </w:rPr>
      </w:pPr>
    </w:p>
    <w:p w14:paraId="268EA5C2" w14:textId="181B140C" w:rsidR="00502EED" w:rsidRDefault="00502EED" w:rsidP="00810B33">
      <w:pPr>
        <w:rPr>
          <w:rFonts w:cstheme="minorHAnsi"/>
          <w:b/>
        </w:rPr>
      </w:pPr>
    </w:p>
    <w:p w14:paraId="61DCC1E3" w14:textId="541E1995" w:rsidR="00502EED" w:rsidRDefault="00502EED" w:rsidP="00810B33">
      <w:pPr>
        <w:rPr>
          <w:rFonts w:cstheme="minorHAnsi"/>
          <w:b/>
        </w:rPr>
      </w:pPr>
    </w:p>
    <w:p w14:paraId="21C84AB0" w14:textId="19848F55" w:rsidR="00502EED" w:rsidRDefault="00502EED" w:rsidP="00810B33">
      <w:pPr>
        <w:rPr>
          <w:rFonts w:cstheme="minorHAnsi"/>
          <w:b/>
        </w:rPr>
      </w:pPr>
    </w:p>
    <w:p w14:paraId="0D7B6A2D" w14:textId="5356C6D4" w:rsidR="00502EED" w:rsidRDefault="00502EED" w:rsidP="00810B33">
      <w:pPr>
        <w:rPr>
          <w:rFonts w:cstheme="minorHAnsi"/>
          <w:b/>
        </w:rPr>
      </w:pPr>
    </w:p>
    <w:p w14:paraId="43169792" w14:textId="77CAE0DF" w:rsidR="00502EED" w:rsidRDefault="00502EED" w:rsidP="00810B33">
      <w:pPr>
        <w:rPr>
          <w:rFonts w:cstheme="minorHAnsi"/>
          <w:b/>
        </w:rPr>
      </w:pPr>
    </w:p>
    <w:p w14:paraId="3D21B842" w14:textId="1B0FBC29" w:rsidR="00502EED" w:rsidRDefault="00502EED" w:rsidP="00810B33">
      <w:pPr>
        <w:rPr>
          <w:rFonts w:cstheme="minorHAnsi"/>
          <w:b/>
        </w:rPr>
      </w:pPr>
    </w:p>
    <w:p w14:paraId="45B21FBA" w14:textId="00E3BCE3" w:rsidR="00502EED" w:rsidRDefault="00502EED" w:rsidP="00810B33">
      <w:pPr>
        <w:rPr>
          <w:rFonts w:cstheme="minorHAnsi"/>
          <w:b/>
        </w:rPr>
      </w:pPr>
    </w:p>
    <w:p w14:paraId="3BD21061" w14:textId="4532652E" w:rsidR="00502EED" w:rsidRDefault="00502EED" w:rsidP="00810B33">
      <w:pPr>
        <w:rPr>
          <w:rFonts w:cstheme="minorHAnsi"/>
          <w:b/>
        </w:rPr>
      </w:pPr>
    </w:p>
    <w:p w14:paraId="39606DFB" w14:textId="529AF987" w:rsidR="00502EED" w:rsidRDefault="00502EED" w:rsidP="00810B33">
      <w:pPr>
        <w:rPr>
          <w:rFonts w:cstheme="minorHAnsi"/>
          <w:b/>
        </w:rPr>
      </w:pPr>
    </w:p>
    <w:p w14:paraId="1E639F50" w14:textId="1E5F1715" w:rsidR="00502EED" w:rsidRDefault="00502EED" w:rsidP="00810B33">
      <w:pPr>
        <w:rPr>
          <w:rFonts w:cstheme="minorHAnsi"/>
          <w:b/>
        </w:rPr>
      </w:pPr>
    </w:p>
    <w:p w14:paraId="5BB237A9" w14:textId="11CFF5B4" w:rsidR="00502EED" w:rsidRDefault="00502EED" w:rsidP="00810B33">
      <w:pPr>
        <w:rPr>
          <w:rFonts w:cstheme="minorHAnsi"/>
          <w:b/>
        </w:rPr>
      </w:pPr>
    </w:p>
    <w:p w14:paraId="7211C6E4" w14:textId="77777777" w:rsidR="00502EED" w:rsidRPr="0091228A" w:rsidRDefault="00502EED" w:rsidP="00810B33">
      <w:pPr>
        <w:rPr>
          <w:rFonts w:cstheme="minorHAnsi"/>
          <w:b/>
        </w:rPr>
      </w:pPr>
    </w:p>
    <w:p w14:paraId="476A959D" w14:textId="77777777" w:rsidR="00475C3C" w:rsidRPr="001166C1" w:rsidRDefault="00475C3C" w:rsidP="00F6340E">
      <w:pPr>
        <w:pStyle w:val="Naslov1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16" w:name="_Toc84938285"/>
      <w:bookmarkStart w:id="17" w:name="_Toc77339588"/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T</w:t>
      </w:r>
      <w:r w:rsidR="003B3EDC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ERMINSKI PLAN PROVEDBE STRATEŠKIH PROJEKTA</w:t>
      </w:r>
      <w:bookmarkEnd w:id="16"/>
      <w:r w:rsidR="003B3EDC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bookmarkEnd w:id="17"/>
    </w:p>
    <w:p w14:paraId="02D18EA8" w14:textId="25BEB863" w:rsidR="00A351ED" w:rsidRPr="0091228A" w:rsidRDefault="00475C3C" w:rsidP="00475C3C">
      <w:pPr>
        <w:jc w:val="both"/>
        <w:rPr>
          <w:rFonts w:cstheme="minorHAnsi"/>
          <w:color w:val="000000" w:themeColor="text1"/>
        </w:rPr>
      </w:pPr>
      <w:r w:rsidRPr="0091228A">
        <w:rPr>
          <w:rFonts w:cstheme="minorHAnsi"/>
          <w:color w:val="000000" w:themeColor="text1"/>
        </w:rPr>
        <w:t xml:space="preserve">U terminskom planu </w:t>
      </w:r>
      <w:r w:rsidR="000F0A96" w:rsidRPr="0091228A">
        <w:rPr>
          <w:rFonts w:cstheme="minorHAnsi"/>
          <w:color w:val="000000" w:themeColor="text1"/>
        </w:rPr>
        <w:t xml:space="preserve">provedbe </w:t>
      </w:r>
      <w:r w:rsidRPr="0091228A">
        <w:rPr>
          <w:rFonts w:cstheme="minorHAnsi"/>
          <w:color w:val="000000" w:themeColor="text1"/>
        </w:rPr>
        <w:t>strateški</w:t>
      </w:r>
      <w:r w:rsidR="000F0A96" w:rsidRPr="0091228A">
        <w:rPr>
          <w:rFonts w:cstheme="minorHAnsi"/>
          <w:color w:val="000000" w:themeColor="text1"/>
        </w:rPr>
        <w:t>h</w:t>
      </w:r>
      <w:r w:rsidRPr="0091228A">
        <w:rPr>
          <w:rFonts w:cstheme="minorHAnsi"/>
          <w:color w:val="000000" w:themeColor="text1"/>
        </w:rPr>
        <w:t xml:space="preserve"> projek</w:t>
      </w:r>
      <w:r w:rsidR="000F0A96" w:rsidRPr="0091228A">
        <w:rPr>
          <w:rFonts w:cstheme="minorHAnsi"/>
          <w:color w:val="000000" w:themeColor="text1"/>
        </w:rPr>
        <w:t>a</w:t>
      </w:r>
      <w:r w:rsidRPr="0091228A">
        <w:rPr>
          <w:rFonts w:cstheme="minorHAnsi"/>
          <w:color w:val="000000" w:themeColor="text1"/>
        </w:rPr>
        <w:t>t</w:t>
      </w:r>
      <w:r w:rsidR="000F0A96" w:rsidRPr="0091228A">
        <w:rPr>
          <w:rFonts w:cstheme="minorHAnsi"/>
          <w:color w:val="000000" w:themeColor="text1"/>
        </w:rPr>
        <w:t>a naveden</w:t>
      </w:r>
      <w:r w:rsidR="00E16022" w:rsidRPr="0091228A">
        <w:rPr>
          <w:rFonts w:cstheme="minorHAnsi"/>
          <w:color w:val="000000" w:themeColor="text1"/>
        </w:rPr>
        <w:t xml:space="preserve">o je 9 strateških </w:t>
      </w:r>
      <w:r w:rsidR="000F0A96" w:rsidRPr="0091228A">
        <w:rPr>
          <w:rFonts w:cstheme="minorHAnsi"/>
          <w:color w:val="000000" w:themeColor="text1"/>
        </w:rPr>
        <w:t>projek</w:t>
      </w:r>
      <w:r w:rsidR="00E16022" w:rsidRPr="0091228A">
        <w:rPr>
          <w:rFonts w:cstheme="minorHAnsi"/>
          <w:color w:val="000000" w:themeColor="text1"/>
        </w:rPr>
        <w:t>a</w:t>
      </w:r>
      <w:r w:rsidR="000F0A96" w:rsidRPr="0091228A">
        <w:rPr>
          <w:rFonts w:cstheme="minorHAnsi"/>
          <w:color w:val="000000" w:themeColor="text1"/>
        </w:rPr>
        <w:t>t</w:t>
      </w:r>
      <w:r w:rsidR="00E16022" w:rsidRPr="0091228A">
        <w:rPr>
          <w:rFonts w:cstheme="minorHAnsi"/>
          <w:color w:val="000000" w:themeColor="text1"/>
        </w:rPr>
        <w:t xml:space="preserve">a koji će se provoditi u razdoblju </w:t>
      </w:r>
      <w:r w:rsidR="00932ACA">
        <w:rPr>
          <w:rFonts w:cstheme="minorHAnsi"/>
          <w:color w:val="000000" w:themeColor="text1"/>
        </w:rPr>
        <w:t xml:space="preserve">od </w:t>
      </w:r>
      <w:r w:rsidR="00E16022" w:rsidRPr="0091228A">
        <w:rPr>
          <w:rFonts w:cstheme="minorHAnsi"/>
          <w:color w:val="000000" w:themeColor="text1"/>
        </w:rPr>
        <w:t xml:space="preserve">2022. do 2027 godine i dulje.  Ovi projekti </w:t>
      </w:r>
      <w:r w:rsidRPr="0091228A">
        <w:rPr>
          <w:rFonts w:cstheme="minorHAnsi"/>
          <w:color w:val="000000" w:themeColor="text1"/>
        </w:rPr>
        <w:t xml:space="preserve">važni </w:t>
      </w:r>
      <w:r w:rsidR="00E16022" w:rsidRPr="0091228A">
        <w:rPr>
          <w:rFonts w:cstheme="minorHAnsi"/>
          <w:color w:val="000000" w:themeColor="text1"/>
        </w:rPr>
        <w:t xml:space="preserve">su </w:t>
      </w:r>
      <w:r w:rsidRPr="0091228A">
        <w:rPr>
          <w:rFonts w:cstheme="minorHAnsi"/>
          <w:color w:val="000000" w:themeColor="text1"/>
        </w:rPr>
        <w:t xml:space="preserve">za razvoj </w:t>
      </w:r>
      <w:r w:rsidR="00A351ED" w:rsidRPr="0091228A">
        <w:rPr>
          <w:rFonts w:cstheme="minorHAnsi"/>
          <w:color w:val="000000" w:themeColor="text1"/>
        </w:rPr>
        <w:t>Brodsko</w:t>
      </w:r>
      <w:r w:rsidR="000F0A96" w:rsidRPr="0091228A">
        <w:rPr>
          <w:rFonts w:cstheme="minorHAnsi"/>
          <w:color w:val="000000" w:themeColor="text1"/>
        </w:rPr>
        <w:t>-</w:t>
      </w:r>
      <w:r w:rsidR="00A351ED" w:rsidRPr="0091228A">
        <w:rPr>
          <w:rFonts w:cstheme="minorHAnsi"/>
          <w:color w:val="000000" w:themeColor="text1"/>
        </w:rPr>
        <w:t>posavske županije</w:t>
      </w:r>
      <w:r w:rsidR="00E16022" w:rsidRPr="0091228A">
        <w:rPr>
          <w:rFonts w:cstheme="minorHAnsi"/>
          <w:color w:val="000000" w:themeColor="text1"/>
        </w:rPr>
        <w:t xml:space="preserve"> te </w:t>
      </w:r>
      <w:r w:rsidRPr="0091228A">
        <w:rPr>
          <w:rFonts w:cstheme="minorHAnsi"/>
          <w:color w:val="000000" w:themeColor="text1"/>
        </w:rPr>
        <w:t xml:space="preserve">izravno doprinose ostvarenju posebnih ciljeva utvrđenih u Planu razvoja. </w:t>
      </w:r>
    </w:p>
    <w:p w14:paraId="3C5A75D5" w14:textId="078BA7B0" w:rsidR="00A351ED" w:rsidRPr="0091228A" w:rsidRDefault="00475C3C" w:rsidP="00475C3C">
      <w:pPr>
        <w:jc w:val="both"/>
        <w:rPr>
          <w:rFonts w:cstheme="minorHAnsi"/>
          <w:color w:val="000000" w:themeColor="text1"/>
        </w:rPr>
      </w:pPr>
      <w:r w:rsidRPr="0091228A">
        <w:rPr>
          <w:rFonts w:cstheme="minorHAnsi"/>
          <w:color w:val="000000" w:themeColor="text1"/>
        </w:rPr>
        <w:t xml:space="preserve">Strateški projekti </w:t>
      </w:r>
      <w:r w:rsidR="00A351ED" w:rsidRPr="0091228A">
        <w:rPr>
          <w:rFonts w:cstheme="minorHAnsi"/>
          <w:color w:val="000000" w:themeColor="text1"/>
        </w:rPr>
        <w:t>podijeljeni su na one koji su u nadležnosti BPŽ</w:t>
      </w:r>
      <w:r w:rsidR="009E405C">
        <w:rPr>
          <w:rFonts w:cstheme="minorHAnsi"/>
          <w:color w:val="000000" w:themeColor="text1"/>
        </w:rPr>
        <w:t>-a</w:t>
      </w:r>
      <w:r w:rsidR="00A351ED" w:rsidRPr="0091228A">
        <w:rPr>
          <w:rFonts w:cstheme="minorHAnsi"/>
          <w:color w:val="000000" w:themeColor="text1"/>
        </w:rPr>
        <w:t xml:space="preserve"> i</w:t>
      </w:r>
      <w:r w:rsidRPr="0091228A">
        <w:rPr>
          <w:rFonts w:cstheme="minorHAnsi"/>
          <w:color w:val="000000" w:themeColor="text1"/>
        </w:rPr>
        <w:t xml:space="preserve"> povezanih tijela </w:t>
      </w:r>
      <w:r w:rsidR="00E16022" w:rsidRPr="0091228A">
        <w:rPr>
          <w:rFonts w:cstheme="minorHAnsi"/>
          <w:color w:val="000000" w:themeColor="text1"/>
        </w:rPr>
        <w:t xml:space="preserve">– </w:t>
      </w:r>
      <w:r w:rsidR="00D24EFD">
        <w:rPr>
          <w:rFonts w:cstheme="minorHAnsi"/>
          <w:color w:val="000000" w:themeColor="text1"/>
        </w:rPr>
        <w:t>4</w:t>
      </w:r>
      <w:r w:rsidR="00E16022" w:rsidRPr="0091228A">
        <w:rPr>
          <w:rFonts w:cstheme="minorHAnsi"/>
          <w:color w:val="000000" w:themeColor="text1"/>
        </w:rPr>
        <w:t xml:space="preserve"> projekta, </w:t>
      </w:r>
      <w:r w:rsidRPr="0091228A">
        <w:rPr>
          <w:rFonts w:cstheme="minorHAnsi"/>
          <w:color w:val="000000" w:themeColor="text1"/>
        </w:rPr>
        <w:t xml:space="preserve">te na projekte koji su važni za </w:t>
      </w:r>
      <w:r w:rsidR="00A351ED" w:rsidRPr="0091228A">
        <w:rPr>
          <w:rFonts w:cstheme="minorHAnsi"/>
          <w:color w:val="000000" w:themeColor="text1"/>
        </w:rPr>
        <w:t>BPŽ</w:t>
      </w:r>
      <w:r w:rsidRPr="0091228A">
        <w:rPr>
          <w:rFonts w:cstheme="minorHAnsi"/>
          <w:color w:val="000000" w:themeColor="text1"/>
        </w:rPr>
        <w:t>, ali čija provedba nije u</w:t>
      </w:r>
      <w:r w:rsidR="00E16022" w:rsidRPr="0091228A">
        <w:rPr>
          <w:rFonts w:cstheme="minorHAnsi"/>
          <w:color w:val="000000" w:themeColor="text1"/>
        </w:rPr>
        <w:t xml:space="preserve"> direktnoj </w:t>
      </w:r>
      <w:r w:rsidRPr="0091228A">
        <w:rPr>
          <w:rFonts w:cstheme="minorHAnsi"/>
          <w:color w:val="000000" w:themeColor="text1"/>
        </w:rPr>
        <w:t xml:space="preserve"> nadležnosti </w:t>
      </w:r>
      <w:r w:rsidR="00A351ED" w:rsidRPr="0091228A">
        <w:rPr>
          <w:rFonts w:cstheme="minorHAnsi"/>
          <w:color w:val="000000" w:themeColor="text1"/>
        </w:rPr>
        <w:t>Županije</w:t>
      </w:r>
      <w:r w:rsidR="00E16022" w:rsidRPr="0091228A">
        <w:rPr>
          <w:rFonts w:cstheme="minorHAnsi"/>
          <w:color w:val="000000" w:themeColor="text1"/>
        </w:rPr>
        <w:t xml:space="preserve"> – </w:t>
      </w:r>
      <w:r w:rsidR="00D24EFD">
        <w:rPr>
          <w:rFonts w:cstheme="minorHAnsi"/>
          <w:color w:val="000000" w:themeColor="text1"/>
        </w:rPr>
        <w:t>5</w:t>
      </w:r>
      <w:r w:rsidR="00E16022" w:rsidRPr="0091228A">
        <w:rPr>
          <w:rFonts w:cstheme="minorHAnsi"/>
          <w:color w:val="000000" w:themeColor="text1"/>
        </w:rPr>
        <w:t xml:space="preserve"> projek</w:t>
      </w:r>
      <w:r w:rsidR="00D24EFD">
        <w:rPr>
          <w:rFonts w:cstheme="minorHAnsi"/>
          <w:color w:val="000000" w:themeColor="text1"/>
        </w:rPr>
        <w:t>a</w:t>
      </w:r>
      <w:r w:rsidR="00E16022" w:rsidRPr="0091228A">
        <w:rPr>
          <w:rFonts w:cstheme="minorHAnsi"/>
          <w:color w:val="000000" w:themeColor="text1"/>
        </w:rPr>
        <w:t>ta</w:t>
      </w:r>
      <w:r w:rsidR="00A351ED" w:rsidRPr="0091228A">
        <w:rPr>
          <w:rFonts w:cstheme="minorHAnsi"/>
          <w:color w:val="000000" w:themeColor="text1"/>
        </w:rPr>
        <w:t xml:space="preserve">. </w:t>
      </w:r>
    </w:p>
    <w:p w14:paraId="75674C10" w14:textId="2F9B1537" w:rsidR="00475C3C" w:rsidRPr="0091228A" w:rsidRDefault="00475C3C" w:rsidP="00475C3C">
      <w:pPr>
        <w:jc w:val="both"/>
        <w:rPr>
          <w:rFonts w:cstheme="minorHAnsi"/>
          <w:iCs/>
          <w:color w:val="000000" w:themeColor="text1"/>
        </w:rPr>
      </w:pPr>
      <w:r w:rsidRPr="0091228A">
        <w:rPr>
          <w:rFonts w:cstheme="minorHAnsi"/>
          <w:color w:val="000000" w:themeColor="text1"/>
        </w:rPr>
        <w:t>U tablic</w:t>
      </w:r>
      <w:r w:rsidR="00A351ED" w:rsidRPr="0091228A">
        <w:rPr>
          <w:rFonts w:cstheme="minorHAnsi"/>
          <w:color w:val="000000" w:themeColor="text1"/>
        </w:rPr>
        <w:t xml:space="preserve">ama koje slijede </w:t>
      </w:r>
      <w:r w:rsidR="00E16022" w:rsidRPr="0091228A">
        <w:rPr>
          <w:rFonts w:cstheme="minorHAnsi"/>
          <w:color w:val="000000" w:themeColor="text1"/>
        </w:rPr>
        <w:t xml:space="preserve">za svaki strateški projekt </w:t>
      </w:r>
      <w:r w:rsidRPr="0091228A">
        <w:rPr>
          <w:rFonts w:cstheme="minorHAnsi"/>
          <w:color w:val="000000" w:themeColor="text1"/>
        </w:rPr>
        <w:t xml:space="preserve">naznačeni </w:t>
      </w:r>
      <w:r w:rsidR="009E405C">
        <w:rPr>
          <w:rFonts w:cstheme="minorHAnsi"/>
          <w:color w:val="000000" w:themeColor="text1"/>
        </w:rPr>
        <w:t xml:space="preserve">su </w:t>
      </w:r>
      <w:r w:rsidR="00A351ED" w:rsidRPr="0091228A">
        <w:rPr>
          <w:rFonts w:cstheme="minorHAnsi"/>
          <w:color w:val="000000" w:themeColor="text1"/>
        </w:rPr>
        <w:t xml:space="preserve">nazivi, </w:t>
      </w:r>
      <w:r w:rsidRPr="0091228A">
        <w:rPr>
          <w:rFonts w:cstheme="minorHAnsi"/>
          <w:color w:val="000000" w:themeColor="text1"/>
        </w:rPr>
        <w:t>krat</w:t>
      </w:r>
      <w:r w:rsidR="009E405C">
        <w:rPr>
          <w:rFonts w:cstheme="minorHAnsi"/>
          <w:color w:val="000000" w:themeColor="text1"/>
        </w:rPr>
        <w:t>a</w:t>
      </w:r>
      <w:r w:rsidRPr="0091228A">
        <w:rPr>
          <w:rFonts w:cstheme="minorHAnsi"/>
          <w:color w:val="000000" w:themeColor="text1"/>
        </w:rPr>
        <w:t xml:space="preserve">k opis, </w:t>
      </w:r>
      <w:r w:rsidR="00E16022" w:rsidRPr="0091228A">
        <w:rPr>
          <w:rFonts w:cstheme="minorHAnsi"/>
          <w:color w:val="000000" w:themeColor="text1"/>
        </w:rPr>
        <w:t xml:space="preserve">informacija o </w:t>
      </w:r>
      <w:r w:rsidRPr="0091228A">
        <w:rPr>
          <w:rFonts w:cstheme="minorHAnsi"/>
          <w:color w:val="000000" w:themeColor="text1"/>
        </w:rPr>
        <w:t>nositelju i lokaciji provedbe, podatci o planiranim rokovima početka i završetka provedbe</w:t>
      </w:r>
      <w:r w:rsidR="00A351ED" w:rsidRPr="0091228A">
        <w:rPr>
          <w:rFonts w:cstheme="minorHAnsi"/>
          <w:color w:val="000000" w:themeColor="text1"/>
        </w:rPr>
        <w:t xml:space="preserve">, </w:t>
      </w:r>
      <w:r w:rsidRPr="0091228A">
        <w:rPr>
          <w:rFonts w:cstheme="minorHAnsi"/>
          <w:iCs/>
          <w:color w:val="000000" w:themeColor="text1"/>
        </w:rPr>
        <w:t>ukupna procijenjena vrijednost</w:t>
      </w:r>
      <w:r w:rsidR="00A351ED" w:rsidRPr="0091228A">
        <w:rPr>
          <w:rFonts w:cstheme="minorHAnsi"/>
          <w:iCs/>
          <w:color w:val="000000" w:themeColor="text1"/>
        </w:rPr>
        <w:t xml:space="preserve"> projekta i</w:t>
      </w:r>
      <w:r w:rsidRPr="0091228A">
        <w:rPr>
          <w:rFonts w:cstheme="minorHAnsi"/>
          <w:iCs/>
          <w:color w:val="000000" w:themeColor="text1"/>
        </w:rPr>
        <w:t xml:space="preserve"> planiran</w:t>
      </w:r>
      <w:r w:rsidR="00A351ED" w:rsidRPr="0091228A">
        <w:rPr>
          <w:rFonts w:cstheme="minorHAnsi"/>
          <w:iCs/>
          <w:color w:val="000000" w:themeColor="text1"/>
        </w:rPr>
        <w:t>i</w:t>
      </w:r>
      <w:r w:rsidRPr="0091228A">
        <w:rPr>
          <w:rFonts w:cstheme="minorHAnsi"/>
          <w:iCs/>
          <w:color w:val="000000" w:themeColor="text1"/>
        </w:rPr>
        <w:t xml:space="preserve"> izvor financiranja.</w:t>
      </w:r>
      <w:r w:rsidR="00E16022" w:rsidRPr="0091228A">
        <w:rPr>
          <w:rFonts w:cstheme="minorHAnsi"/>
          <w:iCs/>
          <w:color w:val="000000" w:themeColor="text1"/>
        </w:rPr>
        <w:t xml:space="preserve"> </w:t>
      </w:r>
    </w:p>
    <w:p w14:paraId="625FE462" w14:textId="77777777" w:rsidR="00A87054" w:rsidRPr="0091228A" w:rsidRDefault="00A87054" w:rsidP="00475C3C">
      <w:pPr>
        <w:jc w:val="both"/>
        <w:rPr>
          <w:rFonts w:cstheme="minorHAnsi"/>
          <w:iCs/>
          <w:color w:val="000000" w:themeColor="text1"/>
        </w:rPr>
      </w:pPr>
    </w:p>
    <w:p w14:paraId="5B70C2AF" w14:textId="5036D040" w:rsidR="00475C3C" w:rsidRPr="0091228A" w:rsidRDefault="00D43E97" w:rsidP="00D43E97">
      <w:pPr>
        <w:pStyle w:val="Opisslike"/>
        <w:keepNext/>
        <w:rPr>
          <w:rFonts w:cstheme="minorHAnsi"/>
          <w:iCs/>
        </w:rPr>
      </w:pPr>
      <w:bookmarkStart w:id="18" w:name="_Toc83978796"/>
      <w:r w:rsidRPr="0091228A">
        <w:t xml:space="preserve">Tablica </w:t>
      </w:r>
      <w:r w:rsidR="00D922ED">
        <w:rPr>
          <w:noProof/>
        </w:rPr>
        <w:fldChar w:fldCharType="begin"/>
      </w:r>
      <w:r w:rsidR="00D922ED">
        <w:rPr>
          <w:noProof/>
        </w:rPr>
        <w:instrText xml:space="preserve"> SEQ Tablica \* ARABIC </w:instrText>
      </w:r>
      <w:r w:rsidR="00D922ED">
        <w:rPr>
          <w:noProof/>
        </w:rPr>
        <w:fldChar w:fldCharType="separate"/>
      </w:r>
      <w:r w:rsidR="00975640">
        <w:rPr>
          <w:noProof/>
        </w:rPr>
        <w:t>4</w:t>
      </w:r>
      <w:r w:rsidR="00D922ED">
        <w:rPr>
          <w:noProof/>
        </w:rPr>
        <w:fldChar w:fldCharType="end"/>
      </w:r>
      <w:r w:rsidRPr="0091228A">
        <w:t xml:space="preserve">. </w:t>
      </w:r>
      <w:r w:rsidR="00475C3C" w:rsidRPr="0091228A">
        <w:rPr>
          <w:rFonts w:cstheme="minorHAnsi"/>
          <w:iCs/>
        </w:rPr>
        <w:t xml:space="preserve">Terminski plan provedbe strateških projekata </w:t>
      </w:r>
      <w:r w:rsidR="00A351ED" w:rsidRPr="0091228A">
        <w:rPr>
          <w:rFonts w:cstheme="minorHAnsi"/>
          <w:iCs/>
        </w:rPr>
        <w:t>Brodsko</w:t>
      </w:r>
      <w:r w:rsidR="009E405C">
        <w:rPr>
          <w:rFonts w:cstheme="minorHAnsi"/>
          <w:iCs/>
        </w:rPr>
        <w:t>-</w:t>
      </w:r>
      <w:r w:rsidR="00A351ED" w:rsidRPr="0091228A">
        <w:rPr>
          <w:rFonts w:cstheme="minorHAnsi"/>
          <w:iCs/>
        </w:rPr>
        <w:t xml:space="preserve">posavske županije </w:t>
      </w:r>
      <w:r w:rsidR="00475C3C" w:rsidRPr="0091228A">
        <w:rPr>
          <w:rFonts w:cstheme="minorHAnsi"/>
          <w:iCs/>
        </w:rPr>
        <w:t>i povezanih tijela</w:t>
      </w:r>
      <w:bookmarkEnd w:id="18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"/>
        <w:gridCol w:w="4146"/>
        <w:gridCol w:w="4634"/>
      </w:tblGrid>
      <w:tr w:rsidR="000F0A96" w:rsidRPr="00CD7EB9" w14:paraId="3F06A904" w14:textId="77777777" w:rsidTr="00722012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CF97FE" w14:textId="384D446E" w:rsidR="000F0A96" w:rsidRPr="00CD7EB9" w:rsidRDefault="00D90376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 xml:space="preserve">PC </w:t>
            </w:r>
            <w:r w:rsidR="000F0A96" w:rsidRPr="00CD7EB9"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>3. Razvoj znanosti i obrazovanja</w:t>
            </w:r>
            <w:r w:rsidR="000F0A96" w:rsidRPr="00CD7EB9">
              <w:rPr>
                <w:rFonts w:cstheme="minorHAnsi"/>
                <w:b/>
                <w:bCs/>
                <w:shd w:val="clear" w:color="auto" w:fill="A8D08D" w:themeFill="accent6" w:themeFillTint="99"/>
              </w:rPr>
              <w:t xml:space="preserve"> </w:t>
            </w:r>
          </w:p>
        </w:tc>
      </w:tr>
      <w:tr w:rsidR="006C212F" w:rsidRPr="00CD7EB9" w14:paraId="596B4147" w14:textId="77777777" w:rsidTr="0091228A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992F" w14:textId="77777777" w:rsidR="00D90376" w:rsidRDefault="00D90376" w:rsidP="009122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bookmarkStart w:id="19" w:name="_Hlk83290086"/>
            <w:r>
              <w:rPr>
                <w:rFonts w:cstheme="minorHAnsi"/>
                <w:b/>
                <w:bCs/>
              </w:rPr>
              <w:t xml:space="preserve">Strateški projekt: </w:t>
            </w:r>
          </w:p>
          <w:p w14:paraId="6A299CA4" w14:textId="632AE705" w:rsidR="006C212F" w:rsidRPr="00CD7EB9" w:rsidRDefault="006C212F" w:rsidP="009122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D7EB9">
              <w:rPr>
                <w:rFonts w:cstheme="minorHAnsi"/>
                <w:b/>
                <w:bCs/>
              </w:rPr>
              <w:t>Unapređenje kvalitete sustava odgoja i obrazovanja kroz ulaganje u infrastrukturu i uvođenje jednosmjenske nastave u osnovne i srednje škole</w:t>
            </w:r>
          </w:p>
        </w:tc>
      </w:tr>
      <w:bookmarkEnd w:id="19"/>
      <w:tr w:rsidR="006C212F" w:rsidRPr="00CD7EB9" w14:paraId="40C16F1E" w14:textId="77777777" w:rsidTr="006C212F"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88EB8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FE91" w14:textId="4F8C671C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Unapređenje kvalitete sustava odgoja i obrazovanja kroz ulaganje u infrastrukturu i uvođenje jednosmjenske nastave u osnovne i srednje škole uključuje </w:t>
            </w:r>
            <w:r w:rsidR="00AA4FE8">
              <w:rPr>
                <w:rFonts w:cstheme="minorHAnsi"/>
              </w:rPr>
              <w:t xml:space="preserve">slijedeće </w:t>
            </w:r>
            <w:r w:rsidRPr="00CD7EB9">
              <w:rPr>
                <w:rFonts w:cstheme="minorHAnsi"/>
              </w:rPr>
              <w:t xml:space="preserve">projekte </w:t>
            </w:r>
            <w:r w:rsidR="00AA4FE8">
              <w:rPr>
                <w:rFonts w:cstheme="minorHAnsi"/>
              </w:rPr>
              <w:t xml:space="preserve">: </w:t>
            </w:r>
          </w:p>
          <w:p w14:paraId="691DC35C" w14:textId="73DA91F9" w:rsidR="006C212F" w:rsidRPr="00CD7EB9" w:rsidRDefault="00AA4FE8" w:rsidP="0091228A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Izgradnja</w:t>
            </w:r>
            <w:r w:rsidR="006C212F" w:rsidRPr="00CD7EB9">
              <w:rPr>
                <w:rFonts w:cstheme="minorHAnsi"/>
              </w:rPr>
              <w:t xml:space="preserve"> i dogradnj</w:t>
            </w:r>
            <w:r>
              <w:rPr>
                <w:rFonts w:cstheme="minorHAnsi"/>
              </w:rPr>
              <w:t>a</w:t>
            </w:r>
            <w:r w:rsidR="006C212F" w:rsidRPr="00CD7EB9">
              <w:rPr>
                <w:rFonts w:cstheme="minorHAnsi"/>
              </w:rPr>
              <w:t xml:space="preserve"> određenih škola s područja BPŽ</w:t>
            </w:r>
            <w:r w:rsidR="009A352E" w:rsidRPr="00CD7EB9">
              <w:rPr>
                <w:rFonts w:cstheme="minorHAnsi"/>
              </w:rPr>
              <w:t>-a</w:t>
            </w:r>
            <w:r w:rsidR="006C212F" w:rsidRPr="00CD7EB9">
              <w:rPr>
                <w:rFonts w:cstheme="minorHAnsi"/>
              </w:rPr>
              <w:t xml:space="preserve"> u kojima će biti omogućena jednosmjenska nastava </w:t>
            </w:r>
          </w:p>
          <w:p w14:paraId="35DC9396" w14:textId="4EBC2918" w:rsidR="006C212F" w:rsidRPr="00CD7EB9" w:rsidRDefault="006C212F" w:rsidP="0091228A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Izgradnj</w:t>
            </w:r>
            <w:r w:rsidR="00AA4FE8">
              <w:rPr>
                <w:rFonts w:cstheme="minorHAnsi"/>
              </w:rPr>
              <w:t>a</w:t>
            </w:r>
            <w:r w:rsidRPr="00CD7EB9">
              <w:rPr>
                <w:rFonts w:cstheme="minorHAnsi"/>
              </w:rPr>
              <w:t xml:space="preserve"> i opremanj</w:t>
            </w:r>
            <w:r w:rsidR="00AA4FE8">
              <w:rPr>
                <w:rFonts w:cstheme="minorHAnsi"/>
              </w:rPr>
              <w:t>e</w:t>
            </w:r>
            <w:r w:rsidRPr="00CD7EB9">
              <w:rPr>
                <w:rFonts w:cstheme="minorHAnsi"/>
              </w:rPr>
              <w:t xml:space="preserve"> Edukacijsko-demonstracijskog inteligentnog centra u Slavonskom Brodu (EDI CENTAR) u sklopu Industrijsko-obrtničke škole koja u sebi sadrži sve najnovije i najmodernije pametne sustave za upravljanje zgradom dok je naglasak na korištenju obnovljivih izvora energije</w:t>
            </w:r>
          </w:p>
          <w:p w14:paraId="6A16C24C" w14:textId="77777777" w:rsidR="006C212F" w:rsidRPr="00CD7EB9" w:rsidRDefault="006C212F" w:rsidP="0091228A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Projekt Prirodni i kulturni resursi u funkciji turizma</w:t>
            </w:r>
          </w:p>
          <w:p w14:paraId="0628D187" w14:textId="77777777" w:rsidR="006C212F" w:rsidRPr="00CD7EB9" w:rsidRDefault="006C212F" w:rsidP="0091228A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Projekt Centar strukovne izvrsnosti u </w:t>
            </w:r>
            <w:r w:rsidRPr="00256E48">
              <w:rPr>
                <w:rFonts w:cstheme="minorHAnsi"/>
              </w:rPr>
              <w:t>bioekonomiji</w:t>
            </w:r>
          </w:p>
          <w:p w14:paraId="66FADB71" w14:textId="5BFB1444" w:rsidR="006C212F" w:rsidRPr="00CD7EB9" w:rsidRDefault="006C212F" w:rsidP="00AA4FE8">
            <w:pPr>
              <w:pStyle w:val="Odlomakpopis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Projekt Regionalni centar kompetentnosti „Slavonika 5.0“ i „Slavonika 5.1.“ koji se odnose na dogradnju Tehničke škole u S</w:t>
            </w:r>
            <w:r w:rsidR="009A352E" w:rsidRPr="00CD7EB9">
              <w:rPr>
                <w:rFonts w:cstheme="minorHAnsi"/>
              </w:rPr>
              <w:t>lavonskom</w:t>
            </w:r>
            <w:r w:rsidRPr="00CD7EB9">
              <w:rPr>
                <w:rFonts w:cstheme="minorHAnsi"/>
              </w:rPr>
              <w:t xml:space="preserve"> Brodu te </w:t>
            </w:r>
            <w:r w:rsidR="009A352E" w:rsidRPr="00CD7EB9">
              <w:rPr>
                <w:rFonts w:cstheme="minorHAnsi"/>
              </w:rPr>
              <w:t xml:space="preserve">na </w:t>
            </w:r>
            <w:r w:rsidRPr="00CD7EB9">
              <w:rPr>
                <w:rFonts w:cstheme="minorHAnsi"/>
              </w:rPr>
              <w:t>stručno usavršavanje i opremanje</w:t>
            </w:r>
          </w:p>
        </w:tc>
      </w:tr>
      <w:tr w:rsidR="006C212F" w:rsidRPr="00CD7EB9" w14:paraId="19B887D3" w14:textId="77777777" w:rsidTr="006C212F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61CFE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31E9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Nositelj: Brodsko-posavska županija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9861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Lokacija: Brodsko-posavska županija</w:t>
            </w:r>
          </w:p>
        </w:tc>
      </w:tr>
      <w:tr w:rsidR="006C212F" w:rsidRPr="00CD7EB9" w14:paraId="0C150B92" w14:textId="77777777" w:rsidTr="006C212F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FC5AD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EE2" w14:textId="6034829C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Datum početka provedbe:1/</w:t>
            </w:r>
            <w:r w:rsidR="00AA4FE8">
              <w:rPr>
                <w:rFonts w:cstheme="minorHAnsi"/>
              </w:rPr>
              <w:t>20</w:t>
            </w:r>
            <w:r w:rsidRPr="00CD7EB9">
              <w:rPr>
                <w:rFonts w:cstheme="minorHAnsi"/>
              </w:rPr>
              <w:t>22</w:t>
            </w:r>
            <w:r w:rsidR="00AA4FE8">
              <w:rPr>
                <w:rFonts w:cstheme="minorHAnsi"/>
              </w:rPr>
              <w:t>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C033" w14:textId="32FACFFD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CD7EB9">
              <w:rPr>
                <w:rFonts w:cstheme="minorHAnsi"/>
              </w:rPr>
              <w:t>Datum završetka provedbe: 12/</w:t>
            </w:r>
            <w:r w:rsidR="00AA4FE8">
              <w:rPr>
                <w:rFonts w:cstheme="minorHAnsi"/>
              </w:rPr>
              <w:t>20</w:t>
            </w:r>
            <w:r w:rsidRPr="00CD7EB9">
              <w:rPr>
                <w:rFonts w:cstheme="minorHAnsi"/>
              </w:rPr>
              <w:t>27</w:t>
            </w:r>
            <w:r w:rsidR="00AA4FE8">
              <w:rPr>
                <w:rFonts w:cstheme="minorHAnsi"/>
              </w:rPr>
              <w:t>.</w:t>
            </w:r>
            <w:r w:rsidRPr="00CD7EB9">
              <w:rPr>
                <w:rFonts w:cstheme="minorHAnsi"/>
              </w:rPr>
              <w:t xml:space="preserve"> </w:t>
            </w:r>
          </w:p>
        </w:tc>
      </w:tr>
      <w:tr w:rsidR="006C212F" w:rsidRPr="00CD7EB9" w14:paraId="6AA4A777" w14:textId="77777777" w:rsidTr="006C212F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5951F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A92A" w14:textId="391A4379" w:rsidR="006C212F" w:rsidRPr="00CD7EB9" w:rsidRDefault="006C212F" w:rsidP="00AA4F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Ukupna procijenjena vrijednost projekta:  </w:t>
            </w:r>
            <w:r w:rsidR="00AA4FE8">
              <w:rPr>
                <w:rFonts w:cstheme="minorHAnsi"/>
              </w:rPr>
              <w:t>4</w:t>
            </w:r>
            <w:r w:rsidRPr="00CD7EB9">
              <w:rPr>
                <w:rFonts w:cstheme="minorHAnsi"/>
              </w:rPr>
              <w:t>00.000.000,00 kn</w:t>
            </w:r>
          </w:p>
        </w:tc>
      </w:tr>
      <w:tr w:rsidR="00D93E67" w:rsidRPr="00CD7EB9" w14:paraId="37CD87FB" w14:textId="77777777" w:rsidTr="006C212F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4279E" w14:textId="77777777" w:rsidR="00D93E67" w:rsidRPr="00CD7EB9" w:rsidRDefault="00D93E67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AD84" w14:textId="7C8B7878" w:rsidR="00D93E67" w:rsidRPr="00CD7EB9" w:rsidRDefault="00D93E67" w:rsidP="00D93E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Sufinanciranje od strane BPŽ: </w:t>
            </w:r>
            <w:r w:rsidR="00303160">
              <w:rPr>
                <w:rFonts w:cstheme="minorHAnsi"/>
              </w:rPr>
              <w:t>60.000.000,00 kn</w:t>
            </w:r>
          </w:p>
        </w:tc>
      </w:tr>
      <w:tr w:rsidR="006C212F" w:rsidRPr="00CD7EB9" w14:paraId="356F3508" w14:textId="77777777" w:rsidTr="006C212F"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7483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AF76" w14:textId="04CF46B2" w:rsidR="006C212F" w:rsidRPr="00CD7EB9" w:rsidRDefault="006C212F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>Planirani izvori financiranja: sredstva</w:t>
            </w:r>
            <w:r w:rsidR="009A352E" w:rsidRPr="00CD7EB9">
              <w:rPr>
                <w:rFonts w:cstheme="minorHAnsi"/>
              </w:rPr>
              <w:t xml:space="preserve"> EU-a</w:t>
            </w:r>
            <w:r w:rsidRPr="00CD7EB9">
              <w:rPr>
                <w:rFonts w:cstheme="minorHAnsi"/>
              </w:rPr>
              <w:t xml:space="preserve">, nacionalna sredstva, proračun </w:t>
            </w:r>
            <w:r w:rsidR="009A352E" w:rsidRPr="00CD7EB9">
              <w:rPr>
                <w:rFonts w:cstheme="minorHAnsi"/>
              </w:rPr>
              <w:t>Ž</w:t>
            </w:r>
            <w:r w:rsidRPr="00CD7EB9">
              <w:rPr>
                <w:rFonts w:cstheme="minorHAnsi"/>
              </w:rPr>
              <w:t>upanije</w:t>
            </w:r>
          </w:p>
        </w:tc>
      </w:tr>
      <w:tr w:rsidR="000F0A96" w:rsidRPr="00CD7EB9" w14:paraId="32557FC1" w14:textId="77777777" w:rsidTr="00722012">
        <w:trPr>
          <w:trHeight w:val="437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3F16AA" w14:textId="2B7F5BCE" w:rsidR="000F0A96" w:rsidRPr="00CD7EB9" w:rsidRDefault="00D93E67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 xml:space="preserve">PC 6. </w:t>
            </w:r>
            <w:r w:rsidR="000F0A96" w:rsidRPr="00CD7EB9"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>Ulaganje u zdravstvenu i socijalnu skrb</w:t>
            </w:r>
            <w:r w:rsidR="000F0A96" w:rsidRPr="00CD7EB9">
              <w:rPr>
                <w:rFonts w:cstheme="minorHAnsi"/>
                <w:b/>
                <w:bCs/>
                <w:shd w:val="clear" w:color="auto" w:fill="A8D08D" w:themeFill="accent6" w:themeFillTint="99"/>
              </w:rPr>
              <w:t xml:space="preserve">  </w:t>
            </w:r>
          </w:p>
        </w:tc>
      </w:tr>
      <w:tr w:rsidR="006C212F" w:rsidRPr="00CD7EB9" w14:paraId="4499C262" w14:textId="77777777" w:rsidTr="0091228A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A7A1" w14:textId="54610A4D" w:rsidR="00D93E67" w:rsidRDefault="00D93E67" w:rsidP="009122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Strateški projekt: </w:t>
            </w:r>
          </w:p>
          <w:p w14:paraId="0FA83F86" w14:textId="467CF751" w:rsidR="006C212F" w:rsidRPr="00CD7EB9" w:rsidRDefault="006C212F" w:rsidP="009122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D7EB9">
              <w:rPr>
                <w:rFonts w:cstheme="minorHAnsi"/>
                <w:b/>
                <w:bCs/>
              </w:rPr>
              <w:t>Ulaganje u unapređenje sustava zdravstvene zaštite na području BPŽ</w:t>
            </w:r>
            <w:r w:rsidR="009A352E" w:rsidRPr="00CD7EB9">
              <w:rPr>
                <w:rFonts w:cstheme="minorHAnsi"/>
                <w:b/>
                <w:bCs/>
              </w:rPr>
              <w:t>-a</w:t>
            </w:r>
          </w:p>
        </w:tc>
      </w:tr>
      <w:tr w:rsidR="006C212F" w:rsidRPr="00CD7EB9" w14:paraId="6255CE08" w14:textId="77777777" w:rsidTr="00E16022">
        <w:trPr>
          <w:trHeight w:val="2165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4B163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EEBE" w14:textId="2B866662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 Ulaganje u unapređenje sustava zdravstvene zaštite na području BPŽ</w:t>
            </w:r>
            <w:r w:rsidR="009A352E" w:rsidRPr="00CD7EB9">
              <w:rPr>
                <w:rFonts w:cstheme="minorHAnsi"/>
              </w:rPr>
              <w:t>-a</w:t>
            </w:r>
            <w:r w:rsidRPr="00CD7EB9">
              <w:rPr>
                <w:rFonts w:cstheme="minorHAnsi"/>
              </w:rPr>
              <w:t xml:space="preserve"> projekt </w:t>
            </w:r>
            <w:r w:rsidR="009A352E" w:rsidRPr="00CD7EB9">
              <w:rPr>
                <w:rFonts w:cstheme="minorHAnsi"/>
              </w:rPr>
              <w:t xml:space="preserve">je </w:t>
            </w:r>
            <w:r w:rsidRPr="00CD7EB9">
              <w:rPr>
                <w:rFonts w:cstheme="minorHAnsi"/>
              </w:rPr>
              <w:t xml:space="preserve">cjelokupnog unapređenja koje uključuje projekte obnove/rekonstrukcije/dogradnje dijelova Opće bolnice „Dr. Josip Benčević“ u Slavonskom Brodu i Opće bolnice u Novoj Gradiški, kao i njihovo opremanje u potrebnim segmentima. Također, zdravstvena </w:t>
            </w:r>
            <w:r w:rsidR="009A352E" w:rsidRPr="00CD7EB9">
              <w:rPr>
                <w:rFonts w:cstheme="minorHAnsi"/>
              </w:rPr>
              <w:t xml:space="preserve">će se </w:t>
            </w:r>
            <w:r w:rsidRPr="00CD7EB9">
              <w:rPr>
                <w:rFonts w:cstheme="minorHAnsi"/>
              </w:rPr>
              <w:t>zaštita unaprijediti izgradnjom nove zgrade Hitne medicine BPŽ</w:t>
            </w:r>
            <w:r w:rsidR="00684825" w:rsidRPr="00CD7EB9">
              <w:rPr>
                <w:rFonts w:cstheme="minorHAnsi"/>
              </w:rPr>
              <w:t>-a</w:t>
            </w:r>
            <w:r w:rsidRPr="00CD7EB9">
              <w:rPr>
                <w:rFonts w:cstheme="minorHAnsi"/>
              </w:rPr>
              <w:t>, kao i opremanjem Zavoda za hitnu medicinu BPŽ</w:t>
            </w:r>
            <w:r w:rsidR="00684825" w:rsidRPr="00CD7EB9">
              <w:rPr>
                <w:rFonts w:cstheme="minorHAnsi"/>
              </w:rPr>
              <w:t>-a</w:t>
            </w:r>
            <w:r w:rsidRPr="00CD7EB9">
              <w:rPr>
                <w:rFonts w:cstheme="minorHAnsi"/>
              </w:rPr>
              <w:t>.  Izgradnja centra</w:t>
            </w:r>
            <w:r w:rsidR="00684825" w:rsidRPr="00CD7EB9">
              <w:rPr>
                <w:rFonts w:cstheme="minorHAnsi"/>
              </w:rPr>
              <w:t xml:space="preserve"> </w:t>
            </w:r>
            <w:r w:rsidRPr="00CD7EB9">
              <w:rPr>
                <w:rFonts w:cstheme="minorHAnsi"/>
              </w:rPr>
              <w:t>za hitnu i interventnu medicinu, Heliobaz</w:t>
            </w:r>
            <w:r w:rsidR="00684825" w:rsidRPr="00CD7EB9">
              <w:rPr>
                <w:rFonts w:cstheme="minorHAnsi"/>
              </w:rPr>
              <w:t>e</w:t>
            </w:r>
            <w:r w:rsidRPr="00CD7EB9">
              <w:rPr>
                <w:rFonts w:cstheme="minorHAnsi"/>
              </w:rPr>
              <w:t>+heliodrom</w:t>
            </w:r>
            <w:r w:rsidR="00684825" w:rsidRPr="00CD7EB9">
              <w:rPr>
                <w:rFonts w:cstheme="minorHAnsi"/>
              </w:rPr>
              <w:t>a</w:t>
            </w:r>
            <w:r w:rsidRPr="00CD7EB9">
              <w:rPr>
                <w:rFonts w:cstheme="minorHAnsi"/>
              </w:rPr>
              <w:t>, Simulacijsko-edukacijsk</w:t>
            </w:r>
            <w:r w:rsidR="00684825" w:rsidRPr="00CD7EB9">
              <w:rPr>
                <w:rFonts w:cstheme="minorHAnsi"/>
              </w:rPr>
              <w:t>og</w:t>
            </w:r>
            <w:r w:rsidRPr="00CD7EB9">
              <w:rPr>
                <w:rFonts w:cstheme="minorHAnsi"/>
              </w:rPr>
              <w:t xml:space="preserve"> cent</w:t>
            </w:r>
            <w:r w:rsidR="00684825" w:rsidRPr="00CD7EB9">
              <w:rPr>
                <w:rFonts w:cstheme="minorHAnsi"/>
              </w:rPr>
              <w:t>r</w:t>
            </w:r>
            <w:r w:rsidRPr="00CD7EB9">
              <w:rPr>
                <w:rFonts w:cstheme="minorHAnsi"/>
              </w:rPr>
              <w:t>a za upravljanje rizicima od katastrofa radi jačanja kapaciteta za prilagodbu klimatskim promjenama.</w:t>
            </w:r>
          </w:p>
        </w:tc>
      </w:tr>
      <w:tr w:rsidR="006C212F" w:rsidRPr="00CD7EB9" w14:paraId="0D0F3E26" w14:textId="77777777" w:rsidTr="00E16022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7F5D9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6DE9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Nositelj: Brodsko-posavska županija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4295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Lokacija: Brodsko-posavska županija</w:t>
            </w:r>
          </w:p>
        </w:tc>
      </w:tr>
      <w:tr w:rsidR="006C212F" w:rsidRPr="00CD7EB9" w14:paraId="752F2924" w14:textId="77777777" w:rsidTr="00E16022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25619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E95B" w14:textId="2B34F2B3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Datum početka provedbe: 1/</w:t>
            </w:r>
            <w:r w:rsidR="00AA4FE8">
              <w:rPr>
                <w:rFonts w:cstheme="minorHAnsi"/>
              </w:rPr>
              <w:t>20</w:t>
            </w:r>
            <w:r w:rsidRPr="00CD7EB9">
              <w:rPr>
                <w:rFonts w:cstheme="minorHAnsi"/>
              </w:rPr>
              <w:t>22</w:t>
            </w:r>
            <w:r w:rsidR="00AA4FE8">
              <w:rPr>
                <w:rFonts w:cstheme="minorHAnsi"/>
              </w:rPr>
              <w:t>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0DAB" w14:textId="44A9D4FD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Datum završetka provedbe: 12/</w:t>
            </w:r>
            <w:r w:rsidR="00AA4FE8">
              <w:rPr>
                <w:rFonts w:cstheme="minorHAnsi"/>
              </w:rPr>
              <w:t>20</w:t>
            </w:r>
            <w:r w:rsidRPr="00CD7EB9">
              <w:rPr>
                <w:rFonts w:cstheme="minorHAnsi"/>
              </w:rPr>
              <w:t>27</w:t>
            </w:r>
            <w:r w:rsidR="00AA4FE8">
              <w:rPr>
                <w:rFonts w:cstheme="minorHAnsi"/>
              </w:rPr>
              <w:t>.</w:t>
            </w:r>
          </w:p>
        </w:tc>
      </w:tr>
      <w:tr w:rsidR="006C212F" w:rsidRPr="00CD7EB9" w14:paraId="3D161816" w14:textId="77777777" w:rsidTr="00E16022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4FE6C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3FB6" w14:textId="467F104E" w:rsidR="006C212F" w:rsidRPr="00CD7EB9" w:rsidRDefault="006C212F" w:rsidP="00AA4F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Ukupna procijenjena vrijednost projekta:  </w:t>
            </w:r>
            <w:r w:rsidR="00AA4FE8">
              <w:rPr>
                <w:rFonts w:cstheme="minorHAnsi"/>
              </w:rPr>
              <w:t>484</w:t>
            </w:r>
            <w:r w:rsidRPr="00CD7EB9">
              <w:rPr>
                <w:rFonts w:cstheme="minorHAnsi"/>
              </w:rPr>
              <w:t>.</w:t>
            </w:r>
            <w:r w:rsidR="00AA4FE8">
              <w:rPr>
                <w:rFonts w:cstheme="minorHAnsi"/>
              </w:rPr>
              <w:t>780</w:t>
            </w:r>
            <w:r w:rsidRPr="00CD7EB9">
              <w:rPr>
                <w:rFonts w:cstheme="minorHAnsi"/>
              </w:rPr>
              <w:t>.000,00 kn</w:t>
            </w:r>
          </w:p>
        </w:tc>
      </w:tr>
      <w:tr w:rsidR="00D93E67" w:rsidRPr="00CD7EB9" w14:paraId="6A8352F0" w14:textId="77777777" w:rsidTr="00E16022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95CC5" w14:textId="77777777" w:rsidR="00D93E67" w:rsidRPr="00CD7EB9" w:rsidRDefault="00D93E67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B1A2" w14:textId="7AC47ADF" w:rsidR="00D93E67" w:rsidRPr="00CD7EB9" w:rsidRDefault="00D93E67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93E67">
              <w:rPr>
                <w:rFonts w:cstheme="minorHAnsi"/>
              </w:rPr>
              <w:t>Sufinanciranje od strane BPŽ:</w:t>
            </w:r>
            <w:r w:rsidR="00303160">
              <w:rPr>
                <w:rFonts w:cstheme="minorHAnsi"/>
              </w:rPr>
              <w:t xml:space="preserve"> 72.717.000,00 kn </w:t>
            </w:r>
          </w:p>
        </w:tc>
      </w:tr>
      <w:tr w:rsidR="006C212F" w:rsidRPr="00CD7EB9" w14:paraId="78CA89C5" w14:textId="77777777" w:rsidTr="00E16022"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6568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0B91" w14:textId="539B2FAD" w:rsidR="006C212F" w:rsidRPr="00CD7EB9" w:rsidRDefault="006C212F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>Planirani izvori financiranja: sredstva</w:t>
            </w:r>
            <w:r w:rsidR="00684825" w:rsidRPr="00CD7EB9">
              <w:rPr>
                <w:rFonts w:cstheme="minorHAnsi"/>
              </w:rPr>
              <w:t xml:space="preserve"> EU-a</w:t>
            </w:r>
            <w:r w:rsidRPr="00CD7EB9">
              <w:rPr>
                <w:rFonts w:cstheme="minorHAnsi"/>
              </w:rPr>
              <w:t xml:space="preserve">, nacionalna sredstva, proračun </w:t>
            </w:r>
            <w:r w:rsidR="00684825" w:rsidRPr="00CD7EB9">
              <w:rPr>
                <w:rFonts w:cstheme="minorHAnsi"/>
              </w:rPr>
              <w:t>Ž</w:t>
            </w:r>
            <w:r w:rsidRPr="00CD7EB9">
              <w:rPr>
                <w:rFonts w:cstheme="minorHAnsi"/>
              </w:rPr>
              <w:t>upanije</w:t>
            </w:r>
          </w:p>
        </w:tc>
      </w:tr>
      <w:tr w:rsidR="000F0A96" w:rsidRPr="00CD7EB9" w14:paraId="21EDBAEC" w14:textId="77777777" w:rsidTr="00722012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B52232" w14:textId="338F8DF8" w:rsidR="000F0A96" w:rsidRPr="00CD7EB9" w:rsidRDefault="00D93E67" w:rsidP="00D93E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20" w:name="_Hlk83284126"/>
            <w:r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>PC 9.</w:t>
            </w:r>
            <w:r w:rsidR="000F0A96" w:rsidRPr="00CD7EB9"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 xml:space="preserve"> </w:t>
            </w:r>
            <w:r w:rsidR="000F0A96" w:rsidRPr="00A24181"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>Razvoj bio</w:t>
            </w:r>
            <w:r w:rsidR="00B20915" w:rsidRPr="00A24181"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>ekonomije</w:t>
            </w:r>
          </w:p>
        </w:tc>
      </w:tr>
      <w:tr w:rsidR="00E16022" w:rsidRPr="00CD7EB9" w14:paraId="7E2EC5BF" w14:textId="77777777" w:rsidTr="0091228A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0DA1" w14:textId="6FFF259F" w:rsidR="00D93E67" w:rsidRDefault="00D93E67" w:rsidP="009122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bookmarkStart w:id="21" w:name="_Hlk83284041"/>
            <w:r>
              <w:rPr>
                <w:rFonts w:cstheme="minorHAnsi"/>
                <w:b/>
                <w:bCs/>
              </w:rPr>
              <w:t xml:space="preserve">Strateški projekt: </w:t>
            </w:r>
          </w:p>
          <w:p w14:paraId="0C5A45A7" w14:textId="1E76FF4E" w:rsidR="00E16022" w:rsidRPr="00CD7EB9" w:rsidRDefault="00E16022" w:rsidP="009122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D7EB9">
              <w:rPr>
                <w:rFonts w:cstheme="minorHAnsi"/>
                <w:b/>
                <w:bCs/>
              </w:rPr>
              <w:t>Izgradnja sustava navodnjavanja za cjelokupno područje BPŽ</w:t>
            </w:r>
            <w:bookmarkEnd w:id="21"/>
            <w:r w:rsidR="00684825" w:rsidRPr="00CD7EB9">
              <w:rPr>
                <w:rFonts w:cstheme="minorHAnsi"/>
                <w:b/>
                <w:bCs/>
              </w:rPr>
              <w:t>-a</w:t>
            </w:r>
          </w:p>
        </w:tc>
      </w:tr>
      <w:tr w:rsidR="00E16022" w:rsidRPr="00CD7EB9" w14:paraId="79179279" w14:textId="77777777" w:rsidTr="00E16022"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995F3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4C78" w14:textId="6AFF241C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Povećanje kvalitete korištenja područja u poljoprivredne svrhe, poticanje konkurentnosti poljoprivrede i zadržavanje stanovništva u ruralnom području koje uključuje izgradnju sustava navodnjavanja Orubica i Biđ. Pre</w:t>
            </w:r>
            <w:r w:rsidR="007D6D34" w:rsidRPr="00CD7EB9">
              <w:rPr>
                <w:rFonts w:cstheme="minorHAnsi"/>
              </w:rPr>
              <w:t>d</w:t>
            </w:r>
            <w:r w:rsidRPr="00CD7EB9">
              <w:rPr>
                <w:rFonts w:cstheme="minorHAnsi"/>
              </w:rPr>
              <w:t xml:space="preserve">viđeni datum završetka izgradnje sustava Orubica je 12/2021, a u planu je još ugovaranje ugradnje piezometara te troškovi ishođenja uporabne dozvole. </w:t>
            </w:r>
          </w:p>
          <w:p w14:paraId="2DD90167" w14:textId="6CF49D1F" w:rsidR="00E16022" w:rsidRPr="00CD7EB9" w:rsidRDefault="00E16022" w:rsidP="00A66FB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Bruto površina područja obuhvata </w:t>
            </w:r>
            <w:r w:rsidR="00A66FB5" w:rsidRPr="00CD7EB9">
              <w:rPr>
                <w:rFonts w:cstheme="minorHAnsi"/>
              </w:rPr>
              <w:t xml:space="preserve">sustava navodnjavanja </w:t>
            </w:r>
            <w:r w:rsidRPr="00CD7EB9">
              <w:rPr>
                <w:rFonts w:cstheme="minorHAnsi"/>
              </w:rPr>
              <w:t xml:space="preserve">Biđ iznosi 1.190 ha. Neto poljoprivredne površine predviđene za navodnjavanje zauzimaju 1.083 ha, a prestali dio od 107 ha otpada na vodene površine, putove i šume. Buduće područje navodnjavanja prostire se između kanala Biđ na jugu i sjeveru za potrebe poljoprivrednika s područja općine Vrpolje u naselju Čajkovci, a dio u općini Donji Andrijevci te općini Velika Kopanica, naselju Divoševci. </w:t>
            </w:r>
          </w:p>
        </w:tc>
      </w:tr>
      <w:tr w:rsidR="00E16022" w:rsidRPr="00CD7EB9" w14:paraId="765EB8F3" w14:textId="77777777" w:rsidTr="00E16022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59DB5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1519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Nositelj: Brodsko-posavska županija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5319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Lokacija: Brodsko-posavska županija</w:t>
            </w:r>
          </w:p>
        </w:tc>
      </w:tr>
      <w:tr w:rsidR="00E16022" w:rsidRPr="00CD7EB9" w14:paraId="1C92F465" w14:textId="77777777" w:rsidTr="00E16022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0169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C51839" w14:textId="5AE1F56F" w:rsidR="00E16022" w:rsidRPr="00CD7EB9" w:rsidRDefault="00AA4FE8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Datum početka provedbe: 06/</w:t>
            </w:r>
            <w:r w:rsidR="00E16022" w:rsidRPr="00CD7EB9">
              <w:rPr>
                <w:rFonts w:cstheme="minorHAnsi"/>
              </w:rPr>
              <w:t>2020.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1EF1" w14:textId="1774167F" w:rsidR="00E16022" w:rsidRPr="00CD7EB9" w:rsidRDefault="00AA4FE8" w:rsidP="00AA4FE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Datum završetka provedbe: </w:t>
            </w:r>
            <w:r w:rsidR="00E16022" w:rsidRPr="00CD7EB9">
              <w:rPr>
                <w:rFonts w:cstheme="minorHAnsi"/>
              </w:rPr>
              <w:t>12</w:t>
            </w:r>
            <w:r>
              <w:rPr>
                <w:rFonts w:cstheme="minorHAnsi"/>
              </w:rPr>
              <w:t>/</w:t>
            </w:r>
            <w:r w:rsidR="00E16022" w:rsidRPr="00CD7EB9">
              <w:rPr>
                <w:rFonts w:cstheme="minorHAnsi"/>
              </w:rPr>
              <w:t>2030.</w:t>
            </w:r>
          </w:p>
        </w:tc>
      </w:tr>
      <w:tr w:rsidR="00E16022" w:rsidRPr="00CD7EB9" w14:paraId="43493007" w14:textId="77777777" w:rsidTr="00E16022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9F091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EB096" w14:textId="336E8D13" w:rsidR="00E16022" w:rsidRPr="00CD7EB9" w:rsidRDefault="00E16022" w:rsidP="00AA4F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Ukupna procijenjena vrijednost projekta:  </w:t>
            </w:r>
            <w:r w:rsidR="00AA4FE8">
              <w:rPr>
                <w:rFonts w:cstheme="minorHAnsi"/>
              </w:rPr>
              <w:t>60</w:t>
            </w:r>
            <w:r w:rsidRPr="00CD7EB9">
              <w:rPr>
                <w:rFonts w:cstheme="minorHAnsi"/>
              </w:rPr>
              <w:t>.</w:t>
            </w:r>
            <w:r w:rsidR="00AA4FE8">
              <w:rPr>
                <w:rFonts w:cstheme="minorHAnsi"/>
              </w:rPr>
              <w:t>0</w:t>
            </w:r>
            <w:r w:rsidRPr="00CD7EB9">
              <w:rPr>
                <w:rFonts w:cstheme="minorHAnsi"/>
              </w:rPr>
              <w:t>00.000,00 kn</w:t>
            </w:r>
          </w:p>
        </w:tc>
      </w:tr>
      <w:tr w:rsidR="00D93E67" w:rsidRPr="00CD7EB9" w14:paraId="06128AAC" w14:textId="77777777" w:rsidTr="00E16022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E4C94" w14:textId="77777777" w:rsidR="00D93E67" w:rsidRPr="00CD7EB9" w:rsidRDefault="00D93E67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CC445" w14:textId="584AC5C5" w:rsidR="00D93E67" w:rsidRPr="00CD7EB9" w:rsidRDefault="00D93E67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93E67">
              <w:rPr>
                <w:rFonts w:cstheme="minorHAnsi"/>
              </w:rPr>
              <w:t>Sufinanciranje od strane BPŽ:</w:t>
            </w:r>
            <w:r w:rsidR="00AA4FE8">
              <w:rPr>
                <w:rFonts w:cstheme="minorHAnsi"/>
              </w:rPr>
              <w:t xml:space="preserve"> </w:t>
            </w:r>
            <w:r w:rsidR="00303160">
              <w:rPr>
                <w:rFonts w:cstheme="minorHAnsi"/>
              </w:rPr>
              <w:t xml:space="preserve">9.000.000,00 kn </w:t>
            </w:r>
          </w:p>
        </w:tc>
      </w:tr>
      <w:tr w:rsidR="00E16022" w:rsidRPr="00CD7EB9" w14:paraId="327F4E18" w14:textId="77777777" w:rsidTr="00E16022"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DC3E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41250" w14:textId="0145E573" w:rsidR="00E16022" w:rsidRPr="00CD7EB9" w:rsidRDefault="00E16022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>Planirani izvori financiranja: Proračun BPŽ</w:t>
            </w:r>
            <w:r w:rsidR="007D6D34" w:rsidRPr="00CD7EB9">
              <w:rPr>
                <w:rFonts w:cstheme="minorHAnsi"/>
              </w:rPr>
              <w:t>-a</w:t>
            </w:r>
            <w:r w:rsidRPr="00CD7EB9">
              <w:rPr>
                <w:rFonts w:cstheme="minorHAnsi"/>
              </w:rPr>
              <w:t>, Državni proračun, Hrvatske vode, fondovi</w:t>
            </w:r>
            <w:r w:rsidR="007D6D34" w:rsidRPr="00CD7EB9">
              <w:rPr>
                <w:rFonts w:cstheme="minorHAnsi"/>
              </w:rPr>
              <w:t xml:space="preserve"> EU-a</w:t>
            </w:r>
          </w:p>
        </w:tc>
      </w:tr>
      <w:tr w:rsidR="000F0A96" w:rsidRPr="00CD7EB9" w14:paraId="36B15AB0" w14:textId="77777777" w:rsidTr="00722012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E3D00D" w14:textId="5076DA1B" w:rsidR="000F0A96" w:rsidRPr="00CD7EB9" w:rsidRDefault="00D93E67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22" w:name="_Hlk83283350"/>
            <w:bookmarkEnd w:id="20"/>
            <w:r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 xml:space="preserve">PC 11. </w:t>
            </w:r>
            <w:r w:rsidR="000F0A96" w:rsidRPr="00CD7EB9"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>Daljnji razvoj komunalne, prometne i društvene infrastrukture</w:t>
            </w:r>
          </w:p>
        </w:tc>
      </w:tr>
      <w:tr w:rsidR="00E16022" w:rsidRPr="00CD7EB9" w14:paraId="3030B558" w14:textId="77777777" w:rsidTr="0091228A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F435" w14:textId="5872059A" w:rsidR="00D93E67" w:rsidRDefault="00D93E67" w:rsidP="009122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Strateški projekt: </w:t>
            </w:r>
          </w:p>
          <w:p w14:paraId="52FC32AB" w14:textId="1477BA26" w:rsidR="00E16022" w:rsidRPr="00CD7EB9" w:rsidRDefault="00E16022" w:rsidP="009122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D7EB9">
              <w:rPr>
                <w:rFonts w:cstheme="minorHAnsi"/>
                <w:b/>
                <w:bCs/>
              </w:rPr>
              <w:t>Regionalni centar za gospodarenje otpadom (RCGO</w:t>
            </w:r>
            <w:r w:rsidR="007D6D34" w:rsidRPr="00CD7EB9">
              <w:rPr>
                <w:rFonts w:cstheme="minorHAnsi"/>
                <w:b/>
                <w:bCs/>
              </w:rPr>
              <w:t>)</w:t>
            </w:r>
            <w:r w:rsidRPr="00CD7EB9">
              <w:rPr>
                <w:rFonts w:cstheme="minorHAnsi"/>
                <w:b/>
                <w:bCs/>
              </w:rPr>
              <w:t xml:space="preserve"> Šagulje</w:t>
            </w:r>
          </w:p>
        </w:tc>
      </w:tr>
      <w:tr w:rsidR="00E16022" w:rsidRPr="00CD7EB9" w14:paraId="671C9975" w14:textId="77777777" w:rsidTr="00E16022"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BDDA8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82DD" w14:textId="5D0AC669" w:rsidR="00EC73B9" w:rsidRDefault="00E16022" w:rsidP="00EC73B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Izgradnja regionalnog centra za gospodarenje otpad</w:t>
            </w:r>
            <w:r w:rsidR="007D6D34" w:rsidRPr="00CD7EB9">
              <w:rPr>
                <w:rFonts w:cstheme="minorHAnsi"/>
              </w:rPr>
              <w:t>om</w:t>
            </w:r>
            <w:r w:rsidRPr="00CD7EB9">
              <w:rPr>
                <w:rFonts w:cstheme="minorHAnsi"/>
              </w:rPr>
              <w:t xml:space="preserve"> u svrhu održivog gospodarenja otpad</w:t>
            </w:r>
            <w:r w:rsidR="007D6D34" w:rsidRPr="00CD7EB9">
              <w:rPr>
                <w:rFonts w:cstheme="minorHAnsi"/>
              </w:rPr>
              <w:t>om</w:t>
            </w:r>
            <w:r w:rsidRPr="00CD7EB9">
              <w:rPr>
                <w:rFonts w:cstheme="minorHAnsi"/>
              </w:rPr>
              <w:t xml:space="preserve"> </w:t>
            </w:r>
            <w:r w:rsidR="00EC73B9">
              <w:rPr>
                <w:rFonts w:cstheme="minorHAnsi"/>
              </w:rPr>
              <w:t>za</w:t>
            </w:r>
            <w:r w:rsidRPr="00CD7EB9">
              <w:rPr>
                <w:rFonts w:cstheme="minorHAnsi"/>
              </w:rPr>
              <w:t xml:space="preserve"> područj</w:t>
            </w:r>
            <w:r w:rsidR="00EC73B9">
              <w:rPr>
                <w:rFonts w:cstheme="minorHAnsi"/>
              </w:rPr>
              <w:t>e</w:t>
            </w:r>
            <w:r w:rsidRPr="00CD7EB9">
              <w:rPr>
                <w:rFonts w:cstheme="minorHAnsi"/>
              </w:rPr>
              <w:t xml:space="preserve"> cijele Brodsko-posavske županije</w:t>
            </w:r>
            <w:r w:rsidR="00EC73B9">
              <w:rPr>
                <w:rFonts w:cstheme="minorHAnsi"/>
              </w:rPr>
              <w:t xml:space="preserve">, Požeško-slavonske županije i dijela Sisačko-moslavačke županije. </w:t>
            </w:r>
            <w:r w:rsidR="00EC73B9" w:rsidRPr="00EC73B9">
              <w:rPr>
                <w:rFonts w:cstheme="minorHAnsi"/>
              </w:rPr>
              <w:t>Time će se riješiti problem zbrinjavanja</w:t>
            </w:r>
            <w:r w:rsidR="00EC73B9">
              <w:rPr>
                <w:rFonts w:cstheme="minorHAnsi"/>
              </w:rPr>
              <w:t xml:space="preserve"> o</w:t>
            </w:r>
            <w:r w:rsidR="00EC73B9" w:rsidRPr="00EC73B9">
              <w:rPr>
                <w:rFonts w:cstheme="minorHAnsi"/>
              </w:rPr>
              <w:t>tpada koji dovodi do zagađenja okoliša koje uzrokuje narušeno zdravlje ljudi i lošu kvalitetu života. Cilj projekta je odložiti manje od 25% mase proizvedenog komunalnog otpada što će</w:t>
            </w:r>
            <w:r w:rsidR="00EC73B9">
              <w:rPr>
                <w:rFonts w:cstheme="minorHAnsi"/>
              </w:rPr>
              <w:t xml:space="preserve"> </w:t>
            </w:r>
            <w:r w:rsidR="00EC73B9" w:rsidRPr="00EC73B9">
              <w:rPr>
                <w:rFonts w:cstheme="minorHAnsi"/>
              </w:rPr>
              <w:t>doprinijet manjem onečišćenju i boljoj kvaliteti života ljudi na ovom području.</w:t>
            </w:r>
          </w:p>
          <w:p w14:paraId="016A967F" w14:textId="3A16C0F4" w:rsidR="00EC73B9" w:rsidRDefault="00EC73B9" w:rsidP="00EC73B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C73B9">
              <w:rPr>
                <w:rFonts w:cstheme="minorHAnsi"/>
              </w:rPr>
              <w:t>Prijavitelj projekta je Regionalni centar za gospodarenje otpadom Šagulje d.o.o. Slavonski Brod, trgovačko društvo u vlasništvu Brodsko-posavske (51%), Požeško-slavonske (24,5%) i Sisačko</w:t>
            </w:r>
            <w:r>
              <w:rPr>
                <w:rFonts w:cstheme="minorHAnsi"/>
              </w:rPr>
              <w:t>-</w:t>
            </w:r>
            <w:r w:rsidRPr="00EC73B9">
              <w:rPr>
                <w:rFonts w:cstheme="minorHAnsi"/>
              </w:rPr>
              <w:t xml:space="preserve">moslavačke županije (24,5%) osnovano s ciljem da organizira izgradnju te potom upravlja radom </w:t>
            </w:r>
            <w:r w:rsidRPr="00EC73B9">
              <w:rPr>
                <w:rFonts w:cstheme="minorHAnsi"/>
              </w:rPr>
              <w:lastRenderedPageBreak/>
              <w:t>RCGO Šagulje u Novoj Gradiškoj čime bi se završio postupak uspostave cjelovitog sustava</w:t>
            </w:r>
            <w:r>
              <w:rPr>
                <w:rFonts w:cstheme="minorHAnsi"/>
              </w:rPr>
              <w:t xml:space="preserve"> </w:t>
            </w:r>
            <w:r w:rsidRPr="00EC73B9">
              <w:rPr>
                <w:rFonts w:cstheme="minorHAnsi"/>
              </w:rPr>
              <w:t>gospodarenja otpadom u ovom dijelu Republike Hrvatske.</w:t>
            </w:r>
          </w:p>
          <w:p w14:paraId="15F52E87" w14:textId="66B04FB4" w:rsidR="00EC73B9" w:rsidRDefault="00EC73B9" w:rsidP="00EC73B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Ukupan iznos investicije izgradnje RCGO Šagulje je 479.748.869,00 kn koji je sukladno visini osnivačkih udjela raspodijeljen na 3 županije pri čemu je iznos za Brodsko-posavsku županiju jednak 244.671.923,19 kn, a s ulaganjima u 2021. iznosi: 247.887.040,00 kn. </w:t>
            </w:r>
          </w:p>
          <w:p w14:paraId="70234E72" w14:textId="00389495" w:rsidR="00E16022" w:rsidRPr="00CD7EB9" w:rsidRDefault="00E16022" w:rsidP="00EC73B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U tijeku je provedba projekta Izrade studijsko-projektne dokumentacije za Regionalni centar za gospodarenje otpadom Šagulje. Vrijednost projekta iznosi 15.000.000,00 </w:t>
            </w:r>
            <w:r w:rsidR="001B5780" w:rsidRPr="00CD7EB9">
              <w:rPr>
                <w:rFonts w:cstheme="minorHAnsi"/>
              </w:rPr>
              <w:t>kn</w:t>
            </w:r>
            <w:r w:rsidRPr="00CD7EB9">
              <w:rPr>
                <w:rFonts w:cstheme="minorHAnsi"/>
              </w:rPr>
              <w:t xml:space="preserve">. Provedba projekta traje 36 mjeseci, odnosno 17.07.2018. – 15.07.2022. </w:t>
            </w:r>
          </w:p>
          <w:p w14:paraId="28FC0370" w14:textId="15A8BC3F" w:rsidR="00EC73B9" w:rsidRPr="00CD7EB9" w:rsidRDefault="00E16022" w:rsidP="00EC73B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Projekt </w:t>
            </w:r>
            <w:r w:rsidR="00A24181">
              <w:rPr>
                <w:rFonts w:cstheme="minorHAnsi"/>
              </w:rPr>
              <w:t>uključuje usl</w:t>
            </w:r>
            <w:r w:rsidRPr="00CD7EB9">
              <w:rPr>
                <w:rFonts w:cstheme="minorHAnsi"/>
              </w:rPr>
              <w:t>uge izrade studijsko-projektne dokumentacije za izgradnju RCGO Šagulje</w:t>
            </w:r>
            <w:r w:rsidR="00A24181">
              <w:rPr>
                <w:rFonts w:cstheme="minorHAnsi"/>
              </w:rPr>
              <w:t xml:space="preserve">, dokumentaciju za </w:t>
            </w:r>
            <w:r w:rsidRPr="00CD7EB9">
              <w:rPr>
                <w:rFonts w:cstheme="minorHAnsi"/>
              </w:rPr>
              <w:t>pretovarne stanice</w:t>
            </w:r>
            <w:r w:rsidR="00A24181">
              <w:rPr>
                <w:rFonts w:cstheme="minorHAnsi"/>
              </w:rPr>
              <w:t xml:space="preserve">, dokumentaciju za potrebe </w:t>
            </w:r>
            <w:r w:rsidRPr="00CD7EB9">
              <w:rPr>
                <w:rFonts w:cstheme="minorHAnsi"/>
              </w:rPr>
              <w:t>nabav</w:t>
            </w:r>
            <w:r w:rsidR="00A24181">
              <w:rPr>
                <w:rFonts w:cstheme="minorHAnsi"/>
              </w:rPr>
              <w:t xml:space="preserve">e te samu </w:t>
            </w:r>
            <w:r w:rsidRPr="00CD7EB9">
              <w:rPr>
                <w:rFonts w:cstheme="minorHAnsi"/>
              </w:rPr>
              <w:t>izgradnj</w:t>
            </w:r>
            <w:r w:rsidR="00A24181">
              <w:rPr>
                <w:rFonts w:cstheme="minorHAnsi"/>
              </w:rPr>
              <w:t>u</w:t>
            </w:r>
            <w:r w:rsidRPr="00CD7EB9">
              <w:rPr>
                <w:rFonts w:cstheme="minorHAnsi"/>
              </w:rPr>
              <w:t xml:space="preserve"> </w:t>
            </w:r>
            <w:r w:rsidR="00E366A5" w:rsidRPr="00CD7EB9">
              <w:rPr>
                <w:rFonts w:cstheme="minorHAnsi"/>
              </w:rPr>
              <w:t>R</w:t>
            </w:r>
            <w:r w:rsidRPr="00CD7EB9">
              <w:rPr>
                <w:rFonts w:cstheme="minorHAnsi"/>
              </w:rPr>
              <w:t>egionalnog centra za gospodarenje otpadom Šagulje.</w:t>
            </w:r>
            <w:r w:rsidR="00890219">
              <w:rPr>
                <w:rFonts w:cstheme="minorHAnsi"/>
              </w:rPr>
              <w:t xml:space="preserve"> </w:t>
            </w:r>
          </w:p>
        </w:tc>
      </w:tr>
      <w:tr w:rsidR="00E16022" w:rsidRPr="00CD7EB9" w14:paraId="40FCFF07" w14:textId="77777777" w:rsidTr="00E16022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AD9AB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3C75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Nositelj: Regionalni centar za gospodarenje otpadom Šagulje d.o.o.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04FB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Lokacija: BPŽ, PSŽ, SMŽ</w:t>
            </w:r>
          </w:p>
        </w:tc>
      </w:tr>
      <w:tr w:rsidR="00E16022" w:rsidRPr="00CD7EB9" w14:paraId="0AD5B995" w14:textId="77777777" w:rsidTr="00E16022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6F365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28DC" w14:textId="3C2D535E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Datum početka provedbe: 1/</w:t>
            </w:r>
            <w:r w:rsidR="00AA4FE8">
              <w:rPr>
                <w:rFonts w:cstheme="minorHAnsi"/>
              </w:rPr>
              <w:t>20</w:t>
            </w:r>
            <w:r w:rsidRPr="00CD7EB9">
              <w:rPr>
                <w:rFonts w:cstheme="minorHAnsi"/>
              </w:rPr>
              <w:t>23</w:t>
            </w:r>
            <w:r w:rsidR="00AA4FE8">
              <w:rPr>
                <w:rFonts w:cstheme="minorHAnsi"/>
              </w:rPr>
              <w:t>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381E" w14:textId="31562AB5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Datum završetka provedbe: 10/</w:t>
            </w:r>
            <w:r w:rsidR="00AA4FE8">
              <w:rPr>
                <w:rFonts w:cstheme="minorHAnsi"/>
              </w:rPr>
              <w:t>20</w:t>
            </w:r>
            <w:r w:rsidRPr="00CD7EB9">
              <w:rPr>
                <w:rFonts w:cstheme="minorHAnsi"/>
              </w:rPr>
              <w:t>26</w:t>
            </w:r>
            <w:r w:rsidR="00AA4FE8">
              <w:rPr>
                <w:rFonts w:cstheme="minorHAnsi"/>
              </w:rPr>
              <w:t>.</w:t>
            </w:r>
          </w:p>
        </w:tc>
      </w:tr>
      <w:tr w:rsidR="00E16022" w:rsidRPr="00CD7EB9" w14:paraId="2F28E9B1" w14:textId="77777777" w:rsidTr="00E16022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FA95D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4F39" w14:textId="14EEAD0C" w:rsidR="00E16022" w:rsidRPr="00CD7EB9" w:rsidRDefault="00E16022" w:rsidP="00AA4FE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Ukupna procijenjena vrijednost projekta:  </w:t>
            </w:r>
            <w:r w:rsidR="00890219">
              <w:rPr>
                <w:rFonts w:cstheme="minorHAnsi"/>
              </w:rPr>
              <w:t xml:space="preserve">479.748.869,00 kn </w:t>
            </w:r>
          </w:p>
        </w:tc>
      </w:tr>
      <w:tr w:rsidR="00D93E67" w:rsidRPr="00CD7EB9" w14:paraId="57D5E115" w14:textId="77777777" w:rsidTr="00E16022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F7E32" w14:textId="77777777" w:rsidR="00D93E67" w:rsidRPr="00CD7EB9" w:rsidRDefault="00D93E67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09B3" w14:textId="031C4E2E" w:rsidR="00D93E67" w:rsidRPr="00CD7EB9" w:rsidRDefault="00D93E67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93E67">
              <w:rPr>
                <w:rFonts w:cstheme="minorHAnsi"/>
              </w:rPr>
              <w:t>Sufinanciranje od strane BPŽ:</w:t>
            </w:r>
            <w:r w:rsidR="00303160">
              <w:rPr>
                <w:rFonts w:cstheme="minorHAnsi"/>
              </w:rPr>
              <w:t xml:space="preserve"> 37.183.056,00 kn</w:t>
            </w:r>
          </w:p>
        </w:tc>
      </w:tr>
      <w:tr w:rsidR="00E16022" w:rsidRPr="00CD7EB9" w14:paraId="2856FE2C" w14:textId="77777777" w:rsidTr="00E16022"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40B5" w14:textId="77777777" w:rsidR="00E16022" w:rsidRPr="00CD7EB9" w:rsidRDefault="00E16022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553D" w14:textId="1170FCA8" w:rsidR="00E16022" w:rsidRPr="00CD7EB9" w:rsidRDefault="00E16022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>Planirani izvori financiranja: sredstva</w:t>
            </w:r>
            <w:r w:rsidR="00E366A5" w:rsidRPr="00CD7EB9">
              <w:rPr>
                <w:rFonts w:cstheme="minorHAnsi"/>
              </w:rPr>
              <w:t xml:space="preserve"> EU-a</w:t>
            </w:r>
            <w:r w:rsidRPr="00CD7EB9">
              <w:rPr>
                <w:rFonts w:cstheme="minorHAnsi"/>
              </w:rPr>
              <w:t>, nacionalni proračun, proračuni županija</w:t>
            </w:r>
          </w:p>
        </w:tc>
      </w:tr>
    </w:tbl>
    <w:p w14:paraId="1D94E5DF" w14:textId="77777777" w:rsidR="00D24EFD" w:rsidRDefault="00D24EFD" w:rsidP="00D43E97">
      <w:pPr>
        <w:pStyle w:val="Opisslike"/>
      </w:pPr>
      <w:bookmarkStart w:id="23" w:name="_Toc83978797"/>
      <w:bookmarkEnd w:id="22"/>
    </w:p>
    <w:p w14:paraId="1EE3285C" w14:textId="1F230574" w:rsidR="00475C3C" w:rsidRPr="0091228A" w:rsidRDefault="00D43E97" w:rsidP="00D43E97">
      <w:pPr>
        <w:pStyle w:val="Opisslike"/>
        <w:rPr>
          <w:rFonts w:cstheme="minorHAnsi"/>
          <w:iCs/>
        </w:rPr>
      </w:pPr>
      <w:r w:rsidRPr="0091228A">
        <w:t xml:space="preserve">Tablica </w:t>
      </w:r>
      <w:r w:rsidR="00D922ED">
        <w:rPr>
          <w:noProof/>
        </w:rPr>
        <w:fldChar w:fldCharType="begin"/>
      </w:r>
      <w:r w:rsidR="00D922ED">
        <w:rPr>
          <w:noProof/>
        </w:rPr>
        <w:instrText xml:space="preserve"> SEQ Tablica \* ARABIC </w:instrText>
      </w:r>
      <w:r w:rsidR="00D922ED">
        <w:rPr>
          <w:noProof/>
        </w:rPr>
        <w:fldChar w:fldCharType="separate"/>
      </w:r>
      <w:r w:rsidR="00975640">
        <w:rPr>
          <w:noProof/>
        </w:rPr>
        <w:t>5</w:t>
      </w:r>
      <w:r w:rsidR="00D922ED">
        <w:rPr>
          <w:noProof/>
        </w:rPr>
        <w:fldChar w:fldCharType="end"/>
      </w:r>
      <w:r w:rsidRPr="0091228A">
        <w:t xml:space="preserve">. </w:t>
      </w:r>
      <w:r w:rsidR="00475C3C" w:rsidRPr="0091228A">
        <w:rPr>
          <w:rFonts w:cstheme="minorHAnsi"/>
          <w:iCs/>
        </w:rPr>
        <w:t xml:space="preserve">Terminski plan provedbe strateških projekata važnih za razvoj </w:t>
      </w:r>
      <w:r w:rsidR="00A351ED" w:rsidRPr="0091228A">
        <w:rPr>
          <w:rFonts w:cstheme="minorHAnsi"/>
          <w:iCs/>
        </w:rPr>
        <w:t>Brodsko</w:t>
      </w:r>
      <w:r w:rsidR="00BC7C41">
        <w:rPr>
          <w:rFonts w:cstheme="minorHAnsi"/>
          <w:iCs/>
        </w:rPr>
        <w:t>-</w:t>
      </w:r>
      <w:r w:rsidR="00A351ED" w:rsidRPr="0091228A">
        <w:rPr>
          <w:rFonts w:cstheme="minorHAnsi"/>
          <w:iCs/>
        </w:rPr>
        <w:t xml:space="preserve">posavske županije </w:t>
      </w:r>
      <w:r w:rsidR="00475C3C" w:rsidRPr="0091228A">
        <w:rPr>
          <w:rFonts w:cstheme="minorHAnsi"/>
          <w:iCs/>
        </w:rPr>
        <w:t xml:space="preserve">čija provedba nije u nadležnosti </w:t>
      </w:r>
      <w:r w:rsidR="00A351ED" w:rsidRPr="0091228A">
        <w:rPr>
          <w:rFonts w:cstheme="minorHAnsi"/>
          <w:iCs/>
        </w:rPr>
        <w:t>Županije</w:t>
      </w:r>
      <w:bookmarkEnd w:id="23"/>
      <w:r w:rsidR="00A351ED" w:rsidRPr="0091228A">
        <w:rPr>
          <w:rFonts w:cstheme="minorHAnsi"/>
          <w:iCs/>
        </w:rPr>
        <w:t xml:space="preserve"> </w:t>
      </w: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236"/>
        <w:gridCol w:w="43"/>
        <w:gridCol w:w="4103"/>
        <w:gridCol w:w="28"/>
        <w:gridCol w:w="4657"/>
      </w:tblGrid>
      <w:tr w:rsidR="000F0A96" w:rsidRPr="00CD7EB9" w14:paraId="063BA325" w14:textId="77777777" w:rsidTr="00D24EFD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AB03DB1" w14:textId="12864BDC" w:rsidR="000F0A96" w:rsidRPr="00CD7EB9" w:rsidRDefault="00D93E67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>PC 3.</w:t>
            </w:r>
            <w:r w:rsidR="000F0A96" w:rsidRPr="00CD7EB9"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 xml:space="preserve"> Razvoj znanosti i obrazovanja</w:t>
            </w:r>
            <w:r w:rsidR="000F0A96" w:rsidRPr="00CD7EB9">
              <w:rPr>
                <w:rFonts w:cstheme="minorHAnsi"/>
                <w:b/>
                <w:bCs/>
                <w:shd w:val="clear" w:color="auto" w:fill="A8D08D" w:themeFill="accent6" w:themeFillTint="99"/>
              </w:rPr>
              <w:t xml:space="preserve"> </w:t>
            </w:r>
          </w:p>
        </w:tc>
      </w:tr>
      <w:tr w:rsidR="006C212F" w:rsidRPr="00CD7EB9" w14:paraId="2997BFAA" w14:textId="77777777" w:rsidTr="00D24EFD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43BB" w14:textId="53A8A2B2" w:rsidR="00D93E67" w:rsidRDefault="00D93E67" w:rsidP="009122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Strateški projekt: </w:t>
            </w:r>
          </w:p>
          <w:p w14:paraId="2E205633" w14:textId="6293EAA2" w:rsidR="006C212F" w:rsidRPr="00CD7EB9" w:rsidRDefault="006C212F" w:rsidP="009122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D7EB9">
              <w:rPr>
                <w:rFonts w:cstheme="minorHAnsi"/>
                <w:b/>
                <w:bCs/>
              </w:rPr>
              <w:t>Infrastrukturni razvoj Sveučilišta u Slavonskom Brodu</w:t>
            </w:r>
          </w:p>
        </w:tc>
      </w:tr>
      <w:tr w:rsidR="006C212F" w:rsidRPr="00CD7EB9" w14:paraId="24A1DFFD" w14:textId="77777777" w:rsidTr="00D24EFD"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50BDE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EDAD" w14:textId="3FC4F00A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Izgradnja nove, jedinstvene zgrade Sveučilišta u Naselju Andrija Hebrang u Slavonskom Brodu te njezino opremanje obrazovnom i znanstvenom opremom. Projektne aktivnosti uključuju: Priprem</w:t>
            </w:r>
            <w:r w:rsidR="007A109D" w:rsidRPr="00CD7EB9">
              <w:rPr>
                <w:rFonts w:cstheme="minorHAnsi"/>
              </w:rPr>
              <w:t>u</w:t>
            </w:r>
            <w:r w:rsidRPr="00CD7EB9">
              <w:rPr>
                <w:rFonts w:cstheme="minorHAnsi"/>
              </w:rPr>
              <w:t xml:space="preserve"> tehničke dokumentacije </w:t>
            </w:r>
            <w:r w:rsidR="007A109D" w:rsidRPr="00CD7EB9">
              <w:rPr>
                <w:rFonts w:cstheme="minorHAnsi"/>
              </w:rPr>
              <w:t>te</w:t>
            </w:r>
            <w:r w:rsidRPr="00CD7EB9">
              <w:rPr>
                <w:rFonts w:cstheme="minorHAnsi"/>
              </w:rPr>
              <w:t xml:space="preserve"> priprem</w:t>
            </w:r>
            <w:r w:rsidR="007A109D" w:rsidRPr="00CD7EB9">
              <w:rPr>
                <w:rFonts w:cstheme="minorHAnsi"/>
              </w:rPr>
              <w:t>u</w:t>
            </w:r>
            <w:r w:rsidRPr="00CD7EB9">
              <w:rPr>
                <w:rFonts w:cstheme="minorHAnsi"/>
              </w:rPr>
              <w:t xml:space="preserve"> i prov</w:t>
            </w:r>
            <w:r w:rsidR="007A109D" w:rsidRPr="00CD7EB9">
              <w:rPr>
                <w:rFonts w:cstheme="minorHAnsi"/>
              </w:rPr>
              <w:t>edbu</w:t>
            </w:r>
            <w:r w:rsidRPr="00CD7EB9">
              <w:rPr>
                <w:rFonts w:cstheme="minorHAnsi"/>
              </w:rPr>
              <w:t xml:space="preserve"> postupaka javne nabave, Izgradnj</w:t>
            </w:r>
            <w:r w:rsidR="00090116" w:rsidRPr="00CD7EB9">
              <w:rPr>
                <w:rFonts w:cstheme="minorHAnsi"/>
              </w:rPr>
              <w:t>u</w:t>
            </w:r>
            <w:r w:rsidRPr="00CD7EB9">
              <w:rPr>
                <w:rFonts w:cstheme="minorHAnsi"/>
              </w:rPr>
              <w:t xml:space="preserve"> i funkcionalno opremanje zgrade </w:t>
            </w:r>
            <w:r w:rsidRPr="00C5234C">
              <w:rPr>
                <w:rFonts w:cstheme="minorHAnsi"/>
              </w:rPr>
              <w:t>Sveučilišta S</w:t>
            </w:r>
            <w:r w:rsidR="00090116" w:rsidRPr="00C5234C">
              <w:rPr>
                <w:rFonts w:cstheme="minorHAnsi"/>
              </w:rPr>
              <w:t xml:space="preserve">lavonskog </w:t>
            </w:r>
            <w:r w:rsidRPr="00C5234C">
              <w:rPr>
                <w:rFonts w:cstheme="minorHAnsi"/>
              </w:rPr>
              <w:t>B</w:t>
            </w:r>
            <w:r w:rsidR="00090116" w:rsidRPr="00C5234C">
              <w:rPr>
                <w:rFonts w:cstheme="minorHAnsi"/>
              </w:rPr>
              <w:t>roda</w:t>
            </w:r>
            <w:r w:rsidRPr="00C5234C">
              <w:rPr>
                <w:rFonts w:cstheme="minorHAnsi"/>
              </w:rPr>
              <w:t>, Unapređenje</w:t>
            </w:r>
            <w:r w:rsidRPr="00CD7EB9">
              <w:rPr>
                <w:rFonts w:cstheme="minorHAnsi"/>
              </w:rPr>
              <w:t xml:space="preserve"> provedbe postojećih studijskih programa iz STEM područja, Izrad</w:t>
            </w:r>
            <w:r w:rsidR="00090116" w:rsidRPr="00CD7EB9">
              <w:rPr>
                <w:rFonts w:cstheme="minorHAnsi"/>
              </w:rPr>
              <w:t>u</w:t>
            </w:r>
            <w:r w:rsidRPr="00CD7EB9">
              <w:rPr>
                <w:rFonts w:cstheme="minorHAnsi"/>
              </w:rPr>
              <w:t xml:space="preserve"> novog studijskog programa i/ili programa cjeloživotnog obrazovanja vezanog za sadržaj Europskog zelenog plana te Organizacij</w:t>
            </w:r>
            <w:r w:rsidR="00090116" w:rsidRPr="00CD7EB9">
              <w:rPr>
                <w:rFonts w:cstheme="minorHAnsi"/>
              </w:rPr>
              <w:t>u</w:t>
            </w:r>
            <w:r w:rsidRPr="00CD7EB9">
              <w:rPr>
                <w:rFonts w:cstheme="minorHAnsi"/>
              </w:rPr>
              <w:t xml:space="preserve"> okruglog stola </w:t>
            </w:r>
            <w:r w:rsidR="00090116" w:rsidRPr="00CD7EB9">
              <w:rPr>
                <w:rFonts w:cstheme="minorHAnsi"/>
              </w:rPr>
              <w:t>„</w:t>
            </w:r>
            <w:r w:rsidRPr="00CD7EB9">
              <w:rPr>
                <w:rFonts w:cstheme="minorHAnsi"/>
              </w:rPr>
              <w:t>Klimatska neutralnost EU</w:t>
            </w:r>
            <w:r w:rsidR="00090116" w:rsidRPr="00CD7EB9">
              <w:rPr>
                <w:rFonts w:cstheme="minorHAnsi"/>
              </w:rPr>
              <w:t>-a</w:t>
            </w:r>
            <w:r w:rsidRPr="00CD7EB9">
              <w:rPr>
                <w:rFonts w:cstheme="minorHAnsi"/>
              </w:rPr>
              <w:t xml:space="preserve"> 2050</w:t>
            </w:r>
            <w:r w:rsidR="00090116" w:rsidRPr="00CD7EB9">
              <w:rPr>
                <w:rFonts w:cstheme="minorHAnsi"/>
              </w:rPr>
              <w:t>“</w:t>
            </w:r>
            <w:r w:rsidRPr="00CD7EB9">
              <w:rPr>
                <w:rFonts w:cstheme="minorHAnsi"/>
              </w:rPr>
              <w:t>.</w:t>
            </w:r>
          </w:p>
        </w:tc>
      </w:tr>
      <w:tr w:rsidR="006C212F" w:rsidRPr="00CD7EB9" w14:paraId="70FCC075" w14:textId="77777777" w:rsidTr="00D24EFD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BC5A0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5AED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Nositelj: Sveučilište u Slavonskom Brodu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FABC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Lokacija: Slavonski Brod</w:t>
            </w:r>
          </w:p>
        </w:tc>
      </w:tr>
      <w:tr w:rsidR="006C212F" w:rsidRPr="00CD7EB9" w14:paraId="1951CB61" w14:textId="77777777" w:rsidTr="00D24EFD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E620F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8BF3" w14:textId="316ED979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Datum početka provedbe: 1/</w:t>
            </w:r>
            <w:r w:rsidR="00AA4FE8">
              <w:rPr>
                <w:rFonts w:cstheme="minorHAnsi"/>
              </w:rPr>
              <w:t>20</w:t>
            </w:r>
            <w:r w:rsidRPr="00CD7EB9">
              <w:rPr>
                <w:rFonts w:cstheme="minorHAnsi"/>
              </w:rPr>
              <w:t>22</w:t>
            </w:r>
            <w:r w:rsidR="00AA4FE8">
              <w:rPr>
                <w:rFonts w:cstheme="minorHAnsi"/>
              </w:rPr>
              <w:t>.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D374" w14:textId="331C396A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Datum završetka provedbe: 1/</w:t>
            </w:r>
            <w:r w:rsidR="00AA4FE8">
              <w:rPr>
                <w:rFonts w:cstheme="minorHAnsi"/>
              </w:rPr>
              <w:t>20</w:t>
            </w:r>
            <w:r w:rsidRPr="00CD7EB9">
              <w:rPr>
                <w:rFonts w:cstheme="minorHAnsi"/>
              </w:rPr>
              <w:t>25</w:t>
            </w:r>
            <w:r w:rsidR="00AA4FE8">
              <w:rPr>
                <w:rFonts w:cstheme="minorHAnsi"/>
              </w:rPr>
              <w:t>.</w:t>
            </w:r>
          </w:p>
        </w:tc>
      </w:tr>
      <w:tr w:rsidR="006C212F" w:rsidRPr="00CD7EB9" w14:paraId="7B7E591F" w14:textId="77777777" w:rsidTr="00D24EFD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3C764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12C9" w14:textId="01398F2C" w:rsidR="006C212F" w:rsidRPr="00CD7EB9" w:rsidRDefault="006C212F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Ukupna procijenjena vrijednost projekta:  500.000.000,00 </w:t>
            </w:r>
            <w:r w:rsidR="00090116" w:rsidRPr="00CD7EB9">
              <w:rPr>
                <w:rFonts w:cstheme="minorHAnsi"/>
              </w:rPr>
              <w:t>kn</w:t>
            </w:r>
          </w:p>
        </w:tc>
      </w:tr>
      <w:tr w:rsidR="006C212F" w:rsidRPr="00CD7EB9" w14:paraId="451579AB" w14:textId="77777777" w:rsidTr="00D24EFD"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5296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08D4" w14:textId="77777777" w:rsidR="006C212F" w:rsidRPr="00CD7EB9" w:rsidRDefault="006C212F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>Planirani izvori financiranja: NPOO (C3.2. R1-I2 Jačanje institucionalnih kapaciteta sveučilišta i znanstvenih instituta za inovacije)</w:t>
            </w:r>
          </w:p>
        </w:tc>
      </w:tr>
      <w:tr w:rsidR="000F0A96" w:rsidRPr="00CD7EB9" w14:paraId="2284959B" w14:textId="77777777" w:rsidTr="00D24EFD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A9007B6" w14:textId="61D30840" w:rsidR="000F0A96" w:rsidRPr="00CD7EB9" w:rsidRDefault="00D93E67" w:rsidP="0091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 xml:space="preserve">PC 11. </w:t>
            </w:r>
            <w:r w:rsidR="000F0A96" w:rsidRPr="00CD7EB9"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>Daljnji razvoj komunalne, prometne i društvene infrastrukture</w:t>
            </w:r>
          </w:p>
        </w:tc>
      </w:tr>
      <w:tr w:rsidR="006C212F" w:rsidRPr="00CD7EB9" w14:paraId="604DB098" w14:textId="77777777" w:rsidTr="00D24EFD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F470" w14:textId="31B8B2E0" w:rsidR="00D93E67" w:rsidRDefault="00D93E67" w:rsidP="009122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Strateški projekt:</w:t>
            </w:r>
          </w:p>
          <w:p w14:paraId="739CC565" w14:textId="3A75B553" w:rsidR="006C212F" w:rsidRPr="00CD7EB9" w:rsidRDefault="006C212F" w:rsidP="0091228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D7EB9">
              <w:rPr>
                <w:rFonts w:cstheme="minorHAnsi"/>
                <w:b/>
                <w:bCs/>
              </w:rPr>
              <w:t>Izgradnja infrastrukture u Luci Slavonski Brod</w:t>
            </w:r>
          </w:p>
        </w:tc>
      </w:tr>
      <w:tr w:rsidR="006C212F" w:rsidRPr="00CD7EB9" w14:paraId="690BE45F" w14:textId="77777777" w:rsidTr="00D24EFD">
        <w:tc>
          <w:tcPr>
            <w:tcW w:w="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A895C" w14:textId="77777777" w:rsidR="006C212F" w:rsidRPr="00CD7EB9" w:rsidRDefault="006C212F" w:rsidP="0091228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4D43" w14:textId="5D8F1CDF" w:rsidR="006C212F" w:rsidRPr="00CD7EB9" w:rsidRDefault="006C212F" w:rsidP="0072201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Nadogradnjom infrastrukture i razvojem lučkih usluga povećat će se propusnost luke, proširiti gospodarske aktivnosti regije i povećati kapaciteti luke. Ulaganje će doprinijeti postignućima transeuropske prometne mreže, a izgrađena infrastruktura omogućit</w:t>
            </w:r>
            <w:r w:rsidR="007B73A1" w:rsidRPr="00CD7EB9">
              <w:rPr>
                <w:rFonts w:cstheme="minorHAnsi"/>
              </w:rPr>
              <w:t xml:space="preserve"> će</w:t>
            </w:r>
            <w:r w:rsidRPr="00CD7EB9">
              <w:rPr>
                <w:rFonts w:cstheme="minorHAnsi"/>
              </w:rPr>
              <w:t xml:space="preserve"> poboljšan pretovar roba </w:t>
            </w:r>
            <w:r w:rsidRPr="00CD7EB9">
              <w:rPr>
                <w:rFonts w:cstheme="minorHAnsi"/>
              </w:rPr>
              <w:lastRenderedPageBreak/>
              <w:t>u cestovnom, željezničkom i riječnom prometu. Samim time povećat će se i ukupni kapaciteti koridora Rajna</w:t>
            </w:r>
            <w:r w:rsidR="007B73A1" w:rsidRPr="00CD7EB9">
              <w:rPr>
                <w:rFonts w:cstheme="minorHAnsi"/>
              </w:rPr>
              <w:t xml:space="preserve"> </w:t>
            </w:r>
            <w:r w:rsidRPr="00CD7EB9">
              <w:rPr>
                <w:rFonts w:cstheme="minorHAnsi"/>
              </w:rPr>
              <w:t>-</w:t>
            </w:r>
            <w:r w:rsidR="007B73A1" w:rsidRPr="00CD7EB9">
              <w:rPr>
                <w:rFonts w:cstheme="minorHAnsi"/>
              </w:rPr>
              <w:t xml:space="preserve"> </w:t>
            </w:r>
            <w:r w:rsidRPr="00CD7EB9">
              <w:rPr>
                <w:rFonts w:cstheme="minorHAnsi"/>
              </w:rPr>
              <w:t>Dunav kojem luka Slavonski Brod pripada  te će se potaknuti razvoj unutarnje riječne plovidbe.</w:t>
            </w:r>
            <w:r w:rsidR="00722012" w:rsidRPr="00CD7EB9">
              <w:rPr>
                <w:rFonts w:cstheme="minorHAnsi"/>
              </w:rPr>
              <w:t xml:space="preserve"> </w:t>
            </w:r>
            <w:r w:rsidRPr="00CD7EB9">
              <w:rPr>
                <w:rFonts w:cstheme="minorHAnsi"/>
              </w:rPr>
              <w:t xml:space="preserve">U pripremi </w:t>
            </w:r>
            <w:r w:rsidR="00722012" w:rsidRPr="00CD7EB9">
              <w:rPr>
                <w:rFonts w:cstheme="minorHAnsi"/>
              </w:rPr>
              <w:t>je izgradnja t</w:t>
            </w:r>
            <w:r w:rsidRPr="00CD7EB9">
              <w:rPr>
                <w:rFonts w:cstheme="minorHAnsi"/>
              </w:rPr>
              <w:t>erminal</w:t>
            </w:r>
            <w:r w:rsidR="00722012" w:rsidRPr="00CD7EB9">
              <w:rPr>
                <w:rFonts w:cstheme="minorHAnsi"/>
              </w:rPr>
              <w:t>a</w:t>
            </w:r>
            <w:r w:rsidRPr="00CD7EB9">
              <w:rPr>
                <w:rFonts w:cstheme="minorHAnsi"/>
              </w:rPr>
              <w:t xml:space="preserve"> za tekuće terete</w:t>
            </w:r>
            <w:r w:rsidR="00722012" w:rsidRPr="00CD7EB9">
              <w:rPr>
                <w:rFonts w:cstheme="minorHAnsi"/>
              </w:rPr>
              <w:t xml:space="preserve">, </w:t>
            </w:r>
            <w:r w:rsidRPr="00CD7EB9">
              <w:rPr>
                <w:rFonts w:cstheme="minorHAnsi"/>
              </w:rPr>
              <w:t>terminal</w:t>
            </w:r>
            <w:r w:rsidR="00722012" w:rsidRPr="00CD7EB9">
              <w:rPr>
                <w:rFonts w:cstheme="minorHAnsi"/>
              </w:rPr>
              <w:t>a</w:t>
            </w:r>
            <w:r w:rsidRPr="00CD7EB9">
              <w:rPr>
                <w:rFonts w:cstheme="minorHAnsi"/>
              </w:rPr>
              <w:t xml:space="preserve"> za skladištenje i pretovar gotovih naftnih proizvoda</w:t>
            </w:r>
            <w:r w:rsidR="00722012" w:rsidRPr="00CD7EB9">
              <w:rPr>
                <w:rFonts w:cstheme="minorHAnsi"/>
              </w:rPr>
              <w:t>, t</w:t>
            </w:r>
            <w:r w:rsidRPr="00CD7EB9">
              <w:rPr>
                <w:rFonts w:cstheme="minorHAnsi"/>
              </w:rPr>
              <w:t>erminal</w:t>
            </w:r>
            <w:r w:rsidR="00722012" w:rsidRPr="00CD7EB9">
              <w:rPr>
                <w:rFonts w:cstheme="minorHAnsi"/>
              </w:rPr>
              <w:t>a</w:t>
            </w:r>
            <w:r w:rsidRPr="00CD7EB9">
              <w:rPr>
                <w:rFonts w:cstheme="minorHAnsi"/>
              </w:rPr>
              <w:t xml:space="preserve"> za opasne terete</w:t>
            </w:r>
            <w:r w:rsidR="00722012" w:rsidRPr="00CD7EB9">
              <w:rPr>
                <w:rFonts w:cstheme="minorHAnsi"/>
              </w:rPr>
              <w:t>,</w:t>
            </w:r>
            <w:r w:rsidRPr="00CD7EB9">
              <w:rPr>
                <w:rFonts w:cstheme="minorHAnsi"/>
              </w:rPr>
              <w:t xml:space="preserve"> terminal</w:t>
            </w:r>
            <w:r w:rsidR="00722012" w:rsidRPr="00CD7EB9">
              <w:rPr>
                <w:rFonts w:cstheme="minorHAnsi"/>
              </w:rPr>
              <w:t>a</w:t>
            </w:r>
            <w:r w:rsidRPr="00CD7EB9">
              <w:rPr>
                <w:rFonts w:cstheme="minorHAnsi"/>
              </w:rPr>
              <w:t xml:space="preserve"> namijenjen</w:t>
            </w:r>
            <w:r w:rsidR="00722012" w:rsidRPr="00CD7EB9">
              <w:rPr>
                <w:rFonts w:cstheme="minorHAnsi"/>
              </w:rPr>
              <w:t>og</w:t>
            </w:r>
            <w:r w:rsidRPr="00CD7EB9">
              <w:rPr>
                <w:rFonts w:cstheme="minorHAnsi"/>
              </w:rPr>
              <w:t xml:space="preserve"> za opskrbu plovila pogonskim gorivom,</w:t>
            </w:r>
            <w:r w:rsidR="00722012" w:rsidRPr="00CD7EB9">
              <w:rPr>
                <w:rFonts w:cstheme="minorHAnsi"/>
              </w:rPr>
              <w:t xml:space="preserve"> n</w:t>
            </w:r>
            <w:r w:rsidRPr="00CD7EB9">
              <w:rPr>
                <w:rFonts w:cstheme="minorHAnsi"/>
              </w:rPr>
              <w:t>astavak izgradnje industrijskog kolosijeka</w:t>
            </w:r>
            <w:r w:rsidR="00722012" w:rsidRPr="00CD7EB9">
              <w:rPr>
                <w:rFonts w:cstheme="minorHAnsi"/>
              </w:rPr>
              <w:t>,</w:t>
            </w:r>
            <w:r w:rsidRPr="00CD7EB9">
              <w:rPr>
                <w:rFonts w:cstheme="minorHAnsi"/>
              </w:rPr>
              <w:t xml:space="preserve"> spajanje istočnog dijela lučkog područja s koridorom X </w:t>
            </w:r>
            <w:r w:rsidR="00722012" w:rsidRPr="00CD7EB9">
              <w:rPr>
                <w:rFonts w:cstheme="minorHAnsi"/>
              </w:rPr>
              <w:t xml:space="preserve"> i i</w:t>
            </w:r>
            <w:r w:rsidRPr="00CD7EB9">
              <w:rPr>
                <w:rFonts w:cstheme="minorHAnsi"/>
              </w:rPr>
              <w:t xml:space="preserve">zgradnja manjeg brodogradilišta  za popravak riječnih plovila </w:t>
            </w:r>
            <w:r w:rsidR="00722012" w:rsidRPr="00CD7EB9">
              <w:rPr>
                <w:rFonts w:cstheme="minorHAnsi"/>
              </w:rPr>
              <w:t xml:space="preserve">te </w:t>
            </w:r>
            <w:r w:rsidRPr="00CD7EB9">
              <w:rPr>
                <w:rFonts w:cstheme="minorHAnsi"/>
              </w:rPr>
              <w:t>nabava i ugradnja dizalice za podizanje i spuštanje manjih riječnih plovila u svrhu servisiranja i popravljanja</w:t>
            </w:r>
          </w:p>
        </w:tc>
      </w:tr>
      <w:tr w:rsidR="006C212F" w:rsidRPr="00CD7EB9" w14:paraId="04036EFB" w14:textId="77777777" w:rsidTr="00D24EFD">
        <w:tc>
          <w:tcPr>
            <w:tcW w:w="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CC15D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FADB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Nositelj: Lučka uprava Slavonski Brod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76E1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Lokacija: Slavonski Brod</w:t>
            </w:r>
          </w:p>
        </w:tc>
      </w:tr>
      <w:tr w:rsidR="006C212F" w:rsidRPr="00CD7EB9" w14:paraId="41E0D9C5" w14:textId="77777777" w:rsidTr="00D24EFD">
        <w:tc>
          <w:tcPr>
            <w:tcW w:w="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01CF4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87DE" w14:textId="23210D82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Datum početka provedbe: 1/</w:t>
            </w:r>
            <w:r w:rsidR="00AA4FE8">
              <w:rPr>
                <w:rFonts w:cstheme="minorHAnsi"/>
              </w:rPr>
              <w:t>20</w:t>
            </w:r>
            <w:r w:rsidRPr="00CD7EB9">
              <w:rPr>
                <w:rFonts w:cstheme="minorHAnsi"/>
              </w:rPr>
              <w:t>22</w:t>
            </w:r>
            <w:r w:rsidR="00AA4FE8">
              <w:rPr>
                <w:rFonts w:cstheme="minorHAnsi"/>
              </w:rPr>
              <w:t>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3793" w14:textId="50093A1B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  <w:highlight w:val="yellow"/>
              </w:rPr>
            </w:pPr>
            <w:r w:rsidRPr="00CD7EB9">
              <w:rPr>
                <w:rFonts w:cstheme="minorHAnsi"/>
              </w:rPr>
              <w:t>Datum završetka provedbe: 12/2027</w:t>
            </w:r>
            <w:r w:rsidR="00AA4FE8">
              <w:rPr>
                <w:rFonts w:cstheme="minorHAnsi"/>
              </w:rPr>
              <w:t>.</w:t>
            </w:r>
          </w:p>
        </w:tc>
      </w:tr>
      <w:tr w:rsidR="006C212F" w:rsidRPr="00CD7EB9" w14:paraId="7D894C22" w14:textId="77777777" w:rsidTr="00D24EFD">
        <w:tc>
          <w:tcPr>
            <w:tcW w:w="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99929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A21F" w14:textId="77777777" w:rsidR="006C212F" w:rsidRPr="00CD7EB9" w:rsidRDefault="006C212F" w:rsidP="006C21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Ukupna procijenjena vrijednost projekta:  450.000.000,00 kn </w:t>
            </w:r>
          </w:p>
        </w:tc>
      </w:tr>
      <w:tr w:rsidR="006C212F" w:rsidRPr="00CD7EB9" w14:paraId="742461FA" w14:textId="77777777" w:rsidTr="00D24EFD">
        <w:tc>
          <w:tcPr>
            <w:tcW w:w="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2547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F5E7" w14:textId="56536CBB" w:rsidR="006C212F" w:rsidRPr="00CD7EB9" w:rsidRDefault="006C212F" w:rsidP="006C21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>Planirani izvori financiranja: fondovi</w:t>
            </w:r>
            <w:r w:rsidR="007B73A1" w:rsidRPr="00CD7EB9">
              <w:rPr>
                <w:rFonts w:cstheme="minorHAnsi"/>
              </w:rPr>
              <w:t xml:space="preserve"> EU-a</w:t>
            </w:r>
            <w:r w:rsidRPr="00CD7EB9">
              <w:rPr>
                <w:rFonts w:cstheme="minorHAnsi"/>
              </w:rPr>
              <w:t>, državni proračun, koncesionari</w:t>
            </w:r>
          </w:p>
        </w:tc>
      </w:tr>
      <w:tr w:rsidR="006C212F" w:rsidRPr="00CD7EB9" w14:paraId="62BED895" w14:textId="77777777" w:rsidTr="00D24EFD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CFA377" w14:textId="5E0343DB" w:rsidR="006C212F" w:rsidRPr="00CD7EB9" w:rsidRDefault="00D93E67" w:rsidP="006C21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highlight w:val="darkGray"/>
                <w:shd w:val="clear" w:color="auto" w:fill="A8D08D" w:themeFill="accent6" w:themeFillTint="99"/>
              </w:rPr>
              <w:t xml:space="preserve">PC 11. </w:t>
            </w:r>
            <w:r w:rsidR="006C212F" w:rsidRPr="00D93E67">
              <w:rPr>
                <w:rFonts w:cstheme="minorHAnsi"/>
                <w:b/>
                <w:bCs/>
                <w:highlight w:val="darkGray"/>
                <w:shd w:val="clear" w:color="auto" w:fill="A8D08D" w:themeFill="accent6" w:themeFillTint="99"/>
              </w:rPr>
              <w:t>Daljnji razvoj komunalne, prometne i društvene infrastrukture</w:t>
            </w:r>
          </w:p>
        </w:tc>
      </w:tr>
      <w:tr w:rsidR="006C212F" w:rsidRPr="00CD7EB9" w14:paraId="0ED36575" w14:textId="77777777" w:rsidTr="00D24EFD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6E7" w14:textId="542D4E0F" w:rsidR="00D93E67" w:rsidRDefault="00D93E67" w:rsidP="006C21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Strateški projekt: </w:t>
            </w:r>
          </w:p>
          <w:p w14:paraId="457E06B0" w14:textId="007DC06C" w:rsidR="006C212F" w:rsidRPr="00CD7EB9" w:rsidRDefault="006C212F" w:rsidP="006C21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D7EB9">
              <w:rPr>
                <w:rFonts w:cstheme="minorHAnsi"/>
                <w:b/>
                <w:bCs/>
              </w:rPr>
              <w:t>Brod 2</w:t>
            </w:r>
          </w:p>
        </w:tc>
      </w:tr>
      <w:tr w:rsidR="006C212F" w:rsidRPr="00CD7EB9" w14:paraId="23291223" w14:textId="77777777" w:rsidTr="00D24EFD">
        <w:tc>
          <w:tcPr>
            <w:tcW w:w="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12083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04BA" w14:textId="02BE21F3" w:rsidR="006C212F" w:rsidRPr="00CD7EB9" w:rsidRDefault="006C212F" w:rsidP="00FF322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Projekt obuhvaća ulaganja u sustav javne vodoopskrbe, javne odvodnje i pročišćavanja otpadnih voda na području aglomeracije Slavonski Brod, Garčin, Brodski Stupnik, Donji Andrijevci u svrhu ispunjavanja uvjeta Direktive o pročišćavanju komunalnih otpadnih voda (91/271/EEZ) i Direktive o kvaliteti vode namijenjene za ljudsku potrošnju  (98/83/EZ). Projektne aktivnosti uključuju: Izgradnj</w:t>
            </w:r>
            <w:r w:rsidR="007B73A1" w:rsidRPr="00CD7EB9">
              <w:rPr>
                <w:rFonts w:cstheme="minorHAnsi"/>
              </w:rPr>
              <w:t>u</w:t>
            </w:r>
            <w:r w:rsidRPr="00CD7EB9">
              <w:rPr>
                <w:rFonts w:cstheme="minorHAnsi"/>
              </w:rPr>
              <w:t xml:space="preserve"> sustava vodoopskrbe ukupne dužine 48.863 m, dvije crpne stanice, 18 čvorišta, 4.146 priključaka za 10.747 stanovnika</w:t>
            </w:r>
            <w:r w:rsidR="00722012" w:rsidRPr="00CD7EB9">
              <w:rPr>
                <w:rFonts w:cstheme="minorHAnsi"/>
              </w:rPr>
              <w:t xml:space="preserve">; </w:t>
            </w:r>
            <w:r w:rsidRPr="00CD7EB9">
              <w:rPr>
                <w:rFonts w:cstheme="minorHAnsi"/>
              </w:rPr>
              <w:t>Izgradnj</w:t>
            </w:r>
            <w:r w:rsidR="00FF322D" w:rsidRPr="00CD7EB9">
              <w:rPr>
                <w:rFonts w:cstheme="minorHAnsi"/>
              </w:rPr>
              <w:t>u</w:t>
            </w:r>
            <w:r w:rsidRPr="00CD7EB9">
              <w:rPr>
                <w:rFonts w:cstheme="minorHAnsi"/>
              </w:rPr>
              <w:t xml:space="preserve"> sustava odvodnje ukupne dužine 146.952 m, 27 novih objekata sustava (crpne stanice, mjerna mjesta, preljevi), 19 rekonstrukcija i opremanja postojećih objekata, izrada 10.953 priključka za 29.852 stanovnika</w:t>
            </w:r>
            <w:r w:rsidR="00722012" w:rsidRPr="00CD7EB9">
              <w:rPr>
                <w:rFonts w:cstheme="minorHAnsi"/>
              </w:rPr>
              <w:t xml:space="preserve">; </w:t>
            </w:r>
            <w:r w:rsidRPr="00CD7EB9">
              <w:rPr>
                <w:rFonts w:cstheme="minorHAnsi"/>
              </w:rPr>
              <w:t>Nabav</w:t>
            </w:r>
            <w:r w:rsidR="00A262CC" w:rsidRPr="00CD7EB9">
              <w:rPr>
                <w:rFonts w:cstheme="minorHAnsi"/>
              </w:rPr>
              <w:t>u</w:t>
            </w:r>
            <w:r w:rsidRPr="00CD7EB9">
              <w:rPr>
                <w:rFonts w:cstheme="minorHAnsi"/>
              </w:rPr>
              <w:t xml:space="preserve"> opreme za održavanje sustava vodoopskrbe i odvodnje</w:t>
            </w:r>
            <w:r w:rsidR="00A66FB5" w:rsidRPr="00CD7EB9">
              <w:rPr>
                <w:rFonts w:cstheme="minorHAnsi"/>
              </w:rPr>
              <w:t>;</w:t>
            </w:r>
            <w:r w:rsidRPr="00CD7EB9">
              <w:rPr>
                <w:rFonts w:cstheme="minorHAnsi"/>
              </w:rPr>
              <w:t xml:space="preserve"> Troškov</w:t>
            </w:r>
            <w:r w:rsidR="00A262CC" w:rsidRPr="00CD7EB9">
              <w:rPr>
                <w:rFonts w:cstheme="minorHAnsi"/>
              </w:rPr>
              <w:t>e</w:t>
            </w:r>
            <w:r w:rsidRPr="00CD7EB9">
              <w:rPr>
                <w:rFonts w:cstheme="minorHAnsi"/>
              </w:rPr>
              <w:t xml:space="preserve"> nadzora, vođenja projekta,</w:t>
            </w:r>
            <w:r w:rsidR="00A66FB5" w:rsidRPr="00CD7EB9">
              <w:rPr>
                <w:rFonts w:cstheme="minorHAnsi"/>
              </w:rPr>
              <w:t xml:space="preserve"> </w:t>
            </w:r>
            <w:r w:rsidRPr="00CD7EB9">
              <w:rPr>
                <w:rFonts w:cstheme="minorHAnsi"/>
              </w:rPr>
              <w:t>promidžb</w:t>
            </w:r>
            <w:r w:rsidR="00A262CC" w:rsidRPr="00CD7EB9">
              <w:rPr>
                <w:rFonts w:cstheme="minorHAnsi"/>
              </w:rPr>
              <w:t>e</w:t>
            </w:r>
            <w:r w:rsidRPr="00CD7EB9">
              <w:rPr>
                <w:rFonts w:cstheme="minorHAnsi"/>
              </w:rPr>
              <w:t xml:space="preserve"> i vidljivost</w:t>
            </w:r>
            <w:r w:rsidR="00A262CC" w:rsidRPr="00CD7EB9">
              <w:rPr>
                <w:rFonts w:cstheme="minorHAnsi"/>
              </w:rPr>
              <w:t>i</w:t>
            </w:r>
            <w:r w:rsidRPr="00CD7EB9">
              <w:rPr>
                <w:rFonts w:cstheme="minorHAnsi"/>
              </w:rPr>
              <w:t>.</w:t>
            </w:r>
          </w:p>
        </w:tc>
      </w:tr>
      <w:tr w:rsidR="006C212F" w:rsidRPr="00CD7EB9" w14:paraId="1C798F1A" w14:textId="77777777" w:rsidTr="00D24EFD">
        <w:tc>
          <w:tcPr>
            <w:tcW w:w="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8349D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591A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Nositelj: Vodovod d.o.o. Slavonski Brod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3434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Lokacija: Brodsko-posavska županija</w:t>
            </w:r>
          </w:p>
        </w:tc>
      </w:tr>
      <w:tr w:rsidR="006C212F" w:rsidRPr="00CD7EB9" w14:paraId="4AE3E8F4" w14:textId="77777777" w:rsidTr="00D24EFD">
        <w:tc>
          <w:tcPr>
            <w:tcW w:w="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91F68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A0A3" w14:textId="62C2C692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Datum početka provedbe: </w:t>
            </w:r>
            <w:r w:rsidR="008D75EB">
              <w:rPr>
                <w:rFonts w:cstheme="minorHAnsi"/>
              </w:rPr>
              <w:t>1/2022.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6E78" w14:textId="47D1B794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Datum završetka provedbe: </w:t>
            </w:r>
            <w:r w:rsidR="008D75EB">
              <w:rPr>
                <w:rFonts w:cstheme="minorHAnsi"/>
              </w:rPr>
              <w:t>4/2025</w:t>
            </w:r>
            <w:r w:rsidR="00A64632">
              <w:rPr>
                <w:rFonts w:cstheme="minorHAnsi"/>
              </w:rPr>
              <w:t xml:space="preserve"> </w:t>
            </w:r>
          </w:p>
        </w:tc>
      </w:tr>
      <w:tr w:rsidR="006C212F" w:rsidRPr="00CD7EB9" w14:paraId="2F5ED4FB" w14:textId="77777777" w:rsidTr="00D24EFD">
        <w:tc>
          <w:tcPr>
            <w:tcW w:w="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312D1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C68D" w14:textId="77777777" w:rsidR="006C212F" w:rsidRPr="00CD7EB9" w:rsidRDefault="006C212F" w:rsidP="006C21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>Ukupna procijenjena vrijednost projekta:  500.225.522,00 kn</w:t>
            </w:r>
          </w:p>
        </w:tc>
      </w:tr>
      <w:tr w:rsidR="006C212F" w:rsidRPr="00CD7EB9" w14:paraId="36348DDF" w14:textId="77777777" w:rsidTr="00D24EFD">
        <w:tc>
          <w:tcPr>
            <w:tcW w:w="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7FBD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5292" w14:textId="77777777" w:rsidR="006C212F" w:rsidRPr="00CD7EB9" w:rsidRDefault="006C212F" w:rsidP="006C21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Planirani izvori financiranja: </w:t>
            </w:r>
            <w:r w:rsidRPr="00C5234C">
              <w:rPr>
                <w:rFonts w:cstheme="minorHAnsi"/>
              </w:rPr>
              <w:t>OPKK</w:t>
            </w:r>
          </w:p>
        </w:tc>
      </w:tr>
      <w:tr w:rsidR="006C212F" w:rsidRPr="00CD7EB9" w14:paraId="650BA169" w14:textId="77777777" w:rsidTr="00D24EFD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336DE5" w14:textId="2ACEEDA4" w:rsidR="006C212F" w:rsidRPr="00CD7EB9" w:rsidRDefault="00D93E67" w:rsidP="006C21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highlight w:val="darkGray"/>
                <w:shd w:val="clear" w:color="auto" w:fill="A8D08D" w:themeFill="accent6" w:themeFillTint="99"/>
              </w:rPr>
              <w:t xml:space="preserve">PC 11. </w:t>
            </w:r>
            <w:r w:rsidR="006C212F" w:rsidRPr="00D93E67">
              <w:rPr>
                <w:rFonts w:cstheme="minorHAnsi"/>
                <w:b/>
                <w:bCs/>
                <w:highlight w:val="darkGray"/>
                <w:shd w:val="clear" w:color="auto" w:fill="A8D08D" w:themeFill="accent6" w:themeFillTint="99"/>
              </w:rPr>
              <w:t>Daljnji razvoj komunalne, prometne i društvene infrastrukture</w:t>
            </w:r>
          </w:p>
        </w:tc>
      </w:tr>
      <w:tr w:rsidR="006C212F" w:rsidRPr="00CD7EB9" w14:paraId="7F6D9213" w14:textId="77777777" w:rsidTr="00D24EFD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444" w14:textId="079C0DFC" w:rsidR="00D93E67" w:rsidRDefault="00D93E67" w:rsidP="006C21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Strateški projekt: </w:t>
            </w:r>
          </w:p>
          <w:p w14:paraId="42B045AB" w14:textId="6BE72698" w:rsidR="006C212F" w:rsidRPr="00CD7EB9" w:rsidRDefault="006C212F" w:rsidP="006C21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D7EB9">
              <w:rPr>
                <w:rFonts w:cstheme="minorHAnsi"/>
                <w:b/>
                <w:bCs/>
              </w:rPr>
              <w:t>Brod 3</w:t>
            </w:r>
          </w:p>
        </w:tc>
      </w:tr>
      <w:tr w:rsidR="006C212F" w:rsidRPr="00CD7EB9" w14:paraId="0962117C" w14:textId="77777777" w:rsidTr="00D24EFD">
        <w:tc>
          <w:tcPr>
            <w:tcW w:w="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991B6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C58A" w14:textId="445DE2AF" w:rsidR="006C212F" w:rsidRPr="00CD7EB9" w:rsidRDefault="00A262CC" w:rsidP="00FF322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P</w:t>
            </w:r>
            <w:r w:rsidR="006C212F" w:rsidRPr="00CD7EB9">
              <w:rPr>
                <w:rFonts w:cstheme="minorHAnsi"/>
              </w:rPr>
              <w:t>rojekt</w:t>
            </w:r>
            <w:r w:rsidRPr="00CD7EB9">
              <w:rPr>
                <w:rFonts w:cstheme="minorHAnsi"/>
              </w:rPr>
              <w:t>om</w:t>
            </w:r>
            <w:r w:rsidR="006C212F" w:rsidRPr="00CD7EB9">
              <w:rPr>
                <w:rFonts w:cstheme="minorHAnsi"/>
              </w:rPr>
              <w:t xml:space="preserve"> je predviđena izgradnja vodoopskrbe i odvodnje u preliminarnim aglomeracijama Lužani, Oriovac, Vrpolje, Beravci, Velika Kopanica, Gundinci, Sikirevci i Slavonski Šamac. Projektne aktivnosti uključuju: Izgradnj</w:t>
            </w:r>
            <w:r w:rsidRPr="00CD7EB9">
              <w:rPr>
                <w:rFonts w:cstheme="minorHAnsi"/>
              </w:rPr>
              <w:t>u</w:t>
            </w:r>
            <w:r w:rsidR="006C212F" w:rsidRPr="00CD7EB9">
              <w:rPr>
                <w:rFonts w:cstheme="minorHAnsi"/>
              </w:rPr>
              <w:t xml:space="preserve"> sustava vodoopskrbe ukupne dužine 25.222 m,  3.226 priključaka za 8.388 stanovnika</w:t>
            </w:r>
            <w:r w:rsidR="00FF322D" w:rsidRPr="00CD7EB9">
              <w:rPr>
                <w:rFonts w:cstheme="minorHAnsi"/>
              </w:rPr>
              <w:t>;</w:t>
            </w:r>
            <w:r w:rsidR="006C212F" w:rsidRPr="00CD7EB9">
              <w:rPr>
                <w:rFonts w:cstheme="minorHAnsi"/>
              </w:rPr>
              <w:t xml:space="preserve"> Izgradnj</w:t>
            </w:r>
            <w:r w:rsidRPr="00CD7EB9">
              <w:rPr>
                <w:rFonts w:cstheme="minorHAnsi"/>
              </w:rPr>
              <w:t>u</w:t>
            </w:r>
            <w:r w:rsidR="006C212F" w:rsidRPr="00CD7EB9">
              <w:rPr>
                <w:rFonts w:cstheme="minorHAnsi"/>
              </w:rPr>
              <w:t xml:space="preserve"> sustava o</w:t>
            </w:r>
            <w:r w:rsidR="00FF322D" w:rsidRPr="00CD7EB9">
              <w:rPr>
                <w:rFonts w:cstheme="minorHAnsi"/>
              </w:rPr>
              <w:t>dvodnje ukupne dužine 139.160 m;</w:t>
            </w:r>
            <w:r w:rsidR="006C212F" w:rsidRPr="00CD7EB9">
              <w:rPr>
                <w:rFonts w:cstheme="minorHAnsi"/>
              </w:rPr>
              <w:t xml:space="preserve"> </w:t>
            </w:r>
            <w:r w:rsidR="00FF322D" w:rsidRPr="00CD7EB9">
              <w:rPr>
                <w:rFonts w:cstheme="minorHAnsi"/>
              </w:rPr>
              <w:t>I</w:t>
            </w:r>
            <w:r w:rsidR="006C212F" w:rsidRPr="00CD7EB9">
              <w:rPr>
                <w:rFonts w:cstheme="minorHAnsi"/>
              </w:rPr>
              <w:t>zrad</w:t>
            </w:r>
            <w:r w:rsidR="00FF322D" w:rsidRPr="00CD7EB9">
              <w:rPr>
                <w:rFonts w:cstheme="minorHAnsi"/>
              </w:rPr>
              <w:t>u</w:t>
            </w:r>
            <w:r w:rsidR="006C212F" w:rsidRPr="00CD7EB9">
              <w:rPr>
                <w:rFonts w:cstheme="minorHAnsi"/>
              </w:rPr>
              <w:t xml:space="preserve"> 14.090 priključka za 36.636 stanovnika. </w:t>
            </w:r>
          </w:p>
        </w:tc>
      </w:tr>
      <w:tr w:rsidR="006C212F" w:rsidRPr="00CD7EB9" w14:paraId="01CFCCE2" w14:textId="77777777" w:rsidTr="00D24EFD">
        <w:tc>
          <w:tcPr>
            <w:tcW w:w="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A051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EC30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Nositelj: Vodovod d.o.o. Slavonski Brod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C016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Lokacija: Brodsko-posavska županija</w:t>
            </w:r>
          </w:p>
        </w:tc>
      </w:tr>
      <w:tr w:rsidR="006C212F" w:rsidRPr="00CD7EB9" w14:paraId="14D3DB9B" w14:textId="77777777" w:rsidTr="00D24EFD">
        <w:tc>
          <w:tcPr>
            <w:tcW w:w="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18485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E43D" w14:textId="0306929D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Datum početka provedbe: 1/</w:t>
            </w:r>
            <w:r w:rsidR="00AA4FE8">
              <w:rPr>
                <w:rFonts w:cstheme="minorHAnsi"/>
              </w:rPr>
              <w:t>20</w:t>
            </w:r>
            <w:r w:rsidRPr="00CD7EB9">
              <w:rPr>
                <w:rFonts w:cstheme="minorHAnsi"/>
              </w:rPr>
              <w:t>22</w:t>
            </w:r>
            <w:r w:rsidR="00AA4FE8">
              <w:rPr>
                <w:rFonts w:cstheme="minorHAnsi"/>
              </w:rPr>
              <w:t>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F72A" w14:textId="2E8E180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Datum završetka provedbe: 5/</w:t>
            </w:r>
            <w:r w:rsidR="00AA4FE8">
              <w:rPr>
                <w:rFonts w:cstheme="minorHAnsi"/>
              </w:rPr>
              <w:t>20</w:t>
            </w:r>
            <w:r w:rsidRPr="00CD7EB9">
              <w:rPr>
                <w:rFonts w:cstheme="minorHAnsi"/>
              </w:rPr>
              <w:t>2</w:t>
            </w:r>
            <w:r w:rsidR="008D75EB">
              <w:rPr>
                <w:rFonts w:cstheme="minorHAnsi"/>
              </w:rPr>
              <w:t>5</w:t>
            </w:r>
            <w:r w:rsidR="00AA4FE8">
              <w:rPr>
                <w:rFonts w:cstheme="minorHAnsi"/>
              </w:rPr>
              <w:t>.</w:t>
            </w:r>
          </w:p>
        </w:tc>
      </w:tr>
      <w:tr w:rsidR="006C212F" w:rsidRPr="00CD7EB9" w14:paraId="3A65D7F8" w14:textId="77777777" w:rsidTr="00D24EFD">
        <w:tc>
          <w:tcPr>
            <w:tcW w:w="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8240F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57EC" w14:textId="77777777" w:rsidR="006C212F" w:rsidRPr="00CD7EB9" w:rsidRDefault="006C212F" w:rsidP="006C21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>Ukupna procijenjena vrijednost projekta:  507.713.000,00 kn</w:t>
            </w:r>
          </w:p>
        </w:tc>
      </w:tr>
      <w:tr w:rsidR="006C212F" w:rsidRPr="00CD7EB9" w14:paraId="064DD027" w14:textId="77777777" w:rsidTr="00D24EFD">
        <w:tc>
          <w:tcPr>
            <w:tcW w:w="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316B" w14:textId="77777777" w:rsidR="006C212F" w:rsidRPr="00CD7EB9" w:rsidRDefault="006C212F" w:rsidP="006C212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BF25" w14:textId="77777777" w:rsidR="006C212F" w:rsidRPr="00CD7EB9" w:rsidRDefault="006C212F" w:rsidP="006C21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>Planirani izvori financiranja: Nacionalni plan oporavka i otpornosti (Next Generation EU)</w:t>
            </w:r>
          </w:p>
        </w:tc>
      </w:tr>
      <w:tr w:rsidR="00D24EFD" w:rsidRPr="00CD7EB9" w14:paraId="60289DDE" w14:textId="77777777" w:rsidTr="00D24EFD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9800ABC" w14:textId="77777777" w:rsidR="00D24EFD" w:rsidRPr="00CD7EB9" w:rsidRDefault="00D24EFD" w:rsidP="0007230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24" w:name="_Hlk83283791"/>
            <w:r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lastRenderedPageBreak/>
              <w:t xml:space="preserve">PC 11. </w:t>
            </w:r>
            <w:r w:rsidRPr="00CD7EB9">
              <w:rPr>
                <w:rFonts w:cstheme="minorHAnsi"/>
                <w:b/>
                <w:bCs/>
                <w:highlight w:val="lightGray"/>
                <w:shd w:val="clear" w:color="auto" w:fill="A8D08D" w:themeFill="accent6" w:themeFillTint="99"/>
              </w:rPr>
              <w:t>Daljnji razvoj komunalne, prometne i društvene infrastrukture</w:t>
            </w:r>
          </w:p>
        </w:tc>
      </w:tr>
      <w:tr w:rsidR="00D24EFD" w:rsidRPr="00CD7EB9" w14:paraId="6F55F081" w14:textId="77777777" w:rsidTr="00D24EFD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A1C" w14:textId="77777777" w:rsidR="00D24EFD" w:rsidRDefault="00D24EFD" w:rsidP="0007230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bookmarkStart w:id="25" w:name="_Hlk83283724"/>
            <w:r>
              <w:rPr>
                <w:rFonts w:cstheme="minorHAnsi"/>
                <w:b/>
                <w:bCs/>
              </w:rPr>
              <w:t xml:space="preserve">Strateški projekt: </w:t>
            </w:r>
          </w:p>
          <w:p w14:paraId="7750BC55" w14:textId="77777777" w:rsidR="00D24EFD" w:rsidRPr="00CD7EB9" w:rsidRDefault="00D24EFD" w:rsidP="0007230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D7EB9">
              <w:rPr>
                <w:rFonts w:cstheme="minorHAnsi"/>
                <w:b/>
                <w:bCs/>
              </w:rPr>
              <w:t>Istočna vezna cesta + produžena Svačićeva u Slavonskom Brodu + Južna obilaznica – faza II</w:t>
            </w:r>
            <w:bookmarkEnd w:id="25"/>
          </w:p>
        </w:tc>
      </w:tr>
      <w:tr w:rsidR="00D24EFD" w:rsidRPr="00CD7EB9" w14:paraId="66DB37B4" w14:textId="77777777" w:rsidTr="00D24EFD"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866CB" w14:textId="77777777" w:rsidR="00D24EFD" w:rsidRPr="00CD7EB9" w:rsidRDefault="00D24EFD" w:rsidP="0007230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632C" w14:textId="77777777" w:rsidR="00D24EFD" w:rsidRPr="00CD7EB9" w:rsidRDefault="00D24EFD" w:rsidP="0007230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Projekt uključuje: Izgradnja spoja sjeverne vezne ceste i izgradnja istočne vezne ceste - spoj do Luke Brod, poslovnih zona Bjeliš. </w:t>
            </w:r>
          </w:p>
          <w:p w14:paraId="66C55843" w14:textId="77777777" w:rsidR="00D24EFD" w:rsidRPr="00CD7EB9" w:rsidRDefault="00D24EFD" w:rsidP="0007230C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•</w:t>
            </w:r>
            <w:r w:rsidRPr="00CD7EB9">
              <w:rPr>
                <w:rFonts w:cstheme="minorHAnsi"/>
              </w:rPr>
              <w:tab/>
              <w:t>Izgradnja spoja Svačićeve ulice s istočnom veznom cestom,</w:t>
            </w:r>
          </w:p>
          <w:p w14:paraId="3BD7F4E8" w14:textId="77777777" w:rsidR="00D24EFD" w:rsidRPr="00CD7EB9" w:rsidRDefault="00D24EFD" w:rsidP="0007230C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•</w:t>
            </w:r>
            <w:r w:rsidRPr="00CD7EB9">
              <w:rPr>
                <w:rFonts w:cstheme="minorHAnsi"/>
              </w:rPr>
              <w:tab/>
              <w:t>Nastavak izgradnje od industrijskog parka prema RCGO-u</w:t>
            </w:r>
          </w:p>
        </w:tc>
      </w:tr>
      <w:tr w:rsidR="00D24EFD" w:rsidRPr="00CD7EB9" w14:paraId="72FAE9B5" w14:textId="77777777" w:rsidTr="00D24EFD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4E2EA" w14:textId="77777777" w:rsidR="00D24EFD" w:rsidRPr="00CD7EB9" w:rsidRDefault="00D24EFD" w:rsidP="0007230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DB6A" w14:textId="77777777" w:rsidR="00D24EFD" w:rsidRPr="00CD7EB9" w:rsidRDefault="00D24EFD" w:rsidP="0007230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Nositelj: Brodsko-posavska županija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3206" w14:textId="77777777" w:rsidR="00D24EFD" w:rsidRPr="00CD7EB9" w:rsidRDefault="00D24EFD" w:rsidP="0007230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D7EB9">
              <w:rPr>
                <w:rFonts w:cstheme="minorHAnsi"/>
              </w:rPr>
              <w:t>Lokacija: Brodsko-posavska županija</w:t>
            </w:r>
          </w:p>
        </w:tc>
      </w:tr>
      <w:tr w:rsidR="00D24EFD" w:rsidRPr="00CD7EB9" w14:paraId="1E6E1D17" w14:textId="77777777" w:rsidTr="00D24EFD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EE4B7FF" w14:textId="77777777" w:rsidR="00D24EFD" w:rsidRPr="00CD7EB9" w:rsidRDefault="00D24EFD" w:rsidP="0007230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7333" w14:textId="77777777" w:rsidR="00D24EFD" w:rsidRPr="00AA4FE8" w:rsidRDefault="00D24EFD" w:rsidP="0007230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A4FE8">
              <w:rPr>
                <w:rFonts w:cstheme="minorHAnsi"/>
              </w:rPr>
              <w:t>Datum početka provedbe: 2022.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742E5" w14:textId="77777777" w:rsidR="00D24EFD" w:rsidRPr="00AA4FE8" w:rsidRDefault="00D24EFD" w:rsidP="0007230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A4FE8">
              <w:rPr>
                <w:rFonts w:cstheme="minorHAnsi"/>
              </w:rPr>
              <w:t>Datum završetka provedbe: 2025.</w:t>
            </w:r>
          </w:p>
        </w:tc>
      </w:tr>
      <w:tr w:rsidR="00D24EFD" w:rsidRPr="00CD7EB9" w14:paraId="0340FF45" w14:textId="77777777" w:rsidTr="00D24EFD"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EC34A" w14:textId="77777777" w:rsidR="00D24EFD" w:rsidRPr="00CD7EB9" w:rsidRDefault="00D24EFD" w:rsidP="0007230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AFBF" w14:textId="77777777" w:rsidR="00D24EFD" w:rsidRPr="00CD7EB9" w:rsidRDefault="00D24EFD" w:rsidP="0007230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7EB9">
              <w:rPr>
                <w:rFonts w:cstheme="minorHAnsi"/>
              </w:rPr>
              <w:t xml:space="preserve">Ukupna procijenjena vrijednost projekta:  </w:t>
            </w:r>
            <w:r>
              <w:rPr>
                <w:rFonts w:cstheme="minorHAnsi"/>
              </w:rPr>
              <w:t>154.900.000,00 kn</w:t>
            </w:r>
          </w:p>
        </w:tc>
      </w:tr>
      <w:tr w:rsidR="00D24EFD" w:rsidRPr="00CD7EB9" w14:paraId="5F0043E1" w14:textId="77777777" w:rsidTr="00D24EFD"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F471" w14:textId="77777777" w:rsidR="00D24EFD" w:rsidRPr="00CD7EB9" w:rsidRDefault="00D24EFD" w:rsidP="0007230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664C" w14:textId="77777777" w:rsidR="00D24EFD" w:rsidRPr="00CD7EB9" w:rsidRDefault="00D24EFD" w:rsidP="0007230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A4FE8">
              <w:rPr>
                <w:rFonts w:cstheme="minorHAnsi"/>
              </w:rPr>
              <w:t>Planirani izvori financiranja: prijedlog u pripremi</w:t>
            </w:r>
          </w:p>
        </w:tc>
      </w:tr>
      <w:bookmarkEnd w:id="24"/>
    </w:tbl>
    <w:p w14:paraId="2838F983" w14:textId="77777777" w:rsidR="00D24EFD" w:rsidRDefault="00D24EFD" w:rsidP="00D24EFD"/>
    <w:p w14:paraId="465D63ED" w14:textId="77777777" w:rsidR="000F0A96" w:rsidRPr="0091228A" w:rsidRDefault="000F0A96" w:rsidP="000F0A96"/>
    <w:p w14:paraId="557B1303" w14:textId="0C322605" w:rsidR="000F0A96" w:rsidRPr="0091228A" w:rsidRDefault="00B5068B" w:rsidP="000F0A96">
      <w:pPr>
        <w:rPr>
          <w:i/>
          <w:color w:val="5B9BD5" w:themeColor="accent1"/>
        </w:rPr>
      </w:pPr>
      <w:r w:rsidRPr="0091228A">
        <w:rPr>
          <w:i/>
          <w:color w:val="5B9BD5" w:themeColor="accent1"/>
        </w:rPr>
        <w:t xml:space="preserve">Tablica 6. </w:t>
      </w:r>
      <w:r w:rsidRPr="0091228A">
        <w:rPr>
          <w:rFonts w:cstheme="minorHAnsi"/>
          <w:i/>
          <w:iCs/>
          <w:color w:val="5B9BD5" w:themeColor="accent1"/>
        </w:rPr>
        <w:t>Terminski plan provedbe strateških projekata važnih za razvoj Brodsko</w:t>
      </w:r>
      <w:r w:rsidR="00AA65EA">
        <w:rPr>
          <w:rFonts w:cstheme="minorHAnsi"/>
          <w:i/>
          <w:iCs/>
          <w:color w:val="5B9BD5" w:themeColor="accent1"/>
        </w:rPr>
        <w:t>-</w:t>
      </w:r>
      <w:r w:rsidRPr="0091228A">
        <w:rPr>
          <w:rFonts w:cstheme="minorHAnsi"/>
          <w:i/>
          <w:iCs/>
          <w:color w:val="5B9BD5" w:themeColor="accent1"/>
        </w:rPr>
        <w:t>posavske županije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40"/>
        <w:gridCol w:w="718"/>
        <w:gridCol w:w="721"/>
        <w:gridCol w:w="730"/>
        <w:gridCol w:w="721"/>
        <w:gridCol w:w="764"/>
        <w:gridCol w:w="809"/>
        <w:gridCol w:w="1059"/>
      </w:tblGrid>
      <w:tr w:rsidR="00386B7A" w:rsidRPr="0091228A" w14:paraId="4C234938" w14:textId="23886869" w:rsidTr="00105FCC">
        <w:tc>
          <w:tcPr>
            <w:tcW w:w="3639" w:type="dxa"/>
            <w:shd w:val="clear" w:color="auto" w:fill="D9D9D9" w:themeFill="background1" w:themeFillShade="D9"/>
          </w:tcPr>
          <w:p w14:paraId="49AA9A7B" w14:textId="071ABC18" w:rsidR="00386B7A" w:rsidRPr="00105FCC" w:rsidRDefault="00386B7A" w:rsidP="00E30EAA">
            <w:pPr>
              <w:spacing w:after="0"/>
              <w:rPr>
                <w:rFonts w:ascii="Calibri" w:eastAsia="Calibri" w:hAnsi="Calibri" w:cs="Calibri"/>
                <w:b/>
                <w:highlight w:val="darkGray"/>
              </w:rPr>
            </w:pPr>
            <w:r w:rsidRPr="00105FCC">
              <w:rPr>
                <w:rFonts w:ascii="Calibri" w:eastAsia="Calibri" w:hAnsi="Calibri" w:cs="Calibri"/>
                <w:b/>
                <w:highlight w:val="darkGray"/>
              </w:rPr>
              <w:t xml:space="preserve">Naziv projekta / Godina trajanja </w:t>
            </w:r>
          </w:p>
        </w:tc>
        <w:tc>
          <w:tcPr>
            <w:tcW w:w="613" w:type="dxa"/>
            <w:shd w:val="clear" w:color="auto" w:fill="D9D9D9" w:themeFill="background1" w:themeFillShade="D9"/>
          </w:tcPr>
          <w:p w14:paraId="557A9BA6" w14:textId="017CF94B" w:rsidR="00386B7A" w:rsidRPr="00105FCC" w:rsidRDefault="00386B7A" w:rsidP="00E30EAA">
            <w:pPr>
              <w:spacing w:after="0"/>
              <w:rPr>
                <w:rFonts w:ascii="Calibri" w:eastAsia="Calibri" w:hAnsi="Calibri" w:cs="Calibri"/>
                <w:b/>
                <w:highlight w:val="darkGray"/>
              </w:rPr>
            </w:pPr>
            <w:r w:rsidRPr="00105FCC">
              <w:rPr>
                <w:rFonts w:ascii="Calibri" w:eastAsia="Calibri" w:hAnsi="Calibri" w:cs="Calibri"/>
                <w:b/>
                <w:highlight w:val="darkGray"/>
              </w:rPr>
              <w:t>2021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30F5434A" w14:textId="63E4A429" w:rsidR="00386B7A" w:rsidRPr="00105FCC" w:rsidRDefault="00386B7A" w:rsidP="00E30EAA">
            <w:pPr>
              <w:spacing w:after="0"/>
              <w:rPr>
                <w:rFonts w:ascii="Calibri" w:eastAsia="Calibri" w:hAnsi="Calibri" w:cs="Calibri"/>
                <w:b/>
                <w:highlight w:val="darkGray"/>
              </w:rPr>
            </w:pPr>
            <w:r w:rsidRPr="00105FCC">
              <w:rPr>
                <w:rFonts w:ascii="Calibri" w:eastAsia="Calibri" w:hAnsi="Calibri" w:cs="Calibri"/>
                <w:b/>
                <w:highlight w:val="darkGray"/>
              </w:rPr>
              <w:t>2022.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14:paraId="236EA16F" w14:textId="7ADBCDFD" w:rsidR="00386B7A" w:rsidRPr="00105FCC" w:rsidRDefault="00386B7A" w:rsidP="00E30EAA">
            <w:pPr>
              <w:spacing w:after="0"/>
              <w:rPr>
                <w:rFonts w:ascii="Calibri" w:eastAsia="Calibri" w:hAnsi="Calibri" w:cs="Calibri"/>
                <w:b/>
                <w:highlight w:val="darkGray"/>
              </w:rPr>
            </w:pPr>
            <w:r w:rsidRPr="00105FCC">
              <w:rPr>
                <w:rFonts w:ascii="Calibri" w:eastAsia="Calibri" w:hAnsi="Calibri" w:cs="Calibri"/>
                <w:b/>
                <w:highlight w:val="darkGray"/>
              </w:rPr>
              <w:t>2023.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560297C7" w14:textId="4ED46721" w:rsidR="00386B7A" w:rsidRPr="00105FCC" w:rsidRDefault="00386B7A" w:rsidP="00E30EAA">
            <w:pPr>
              <w:spacing w:after="0"/>
              <w:rPr>
                <w:rFonts w:ascii="Calibri" w:eastAsia="Calibri" w:hAnsi="Calibri" w:cs="Calibri"/>
                <w:b/>
                <w:highlight w:val="darkGray"/>
              </w:rPr>
            </w:pPr>
            <w:r w:rsidRPr="00105FCC">
              <w:rPr>
                <w:rFonts w:ascii="Calibri" w:eastAsia="Calibri" w:hAnsi="Calibri" w:cs="Calibri"/>
                <w:b/>
                <w:highlight w:val="darkGray"/>
              </w:rPr>
              <w:t>2024.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05B61A4E" w14:textId="6D7ACA23" w:rsidR="00386B7A" w:rsidRPr="00105FCC" w:rsidRDefault="00386B7A" w:rsidP="00E30EAA">
            <w:pPr>
              <w:spacing w:after="0"/>
              <w:rPr>
                <w:rFonts w:ascii="Calibri" w:eastAsia="Calibri" w:hAnsi="Calibri" w:cs="Calibri"/>
                <w:b/>
                <w:highlight w:val="darkGray"/>
              </w:rPr>
            </w:pPr>
            <w:r w:rsidRPr="00105FCC">
              <w:rPr>
                <w:rFonts w:ascii="Calibri" w:eastAsia="Calibri" w:hAnsi="Calibri" w:cs="Calibri"/>
                <w:b/>
                <w:highlight w:val="darkGray"/>
              </w:rPr>
              <w:t>2025.</w:t>
            </w:r>
          </w:p>
        </w:tc>
        <w:tc>
          <w:tcPr>
            <w:tcW w:w="813" w:type="dxa"/>
            <w:shd w:val="clear" w:color="auto" w:fill="D9D9D9" w:themeFill="background1" w:themeFillShade="D9"/>
          </w:tcPr>
          <w:p w14:paraId="1602A085" w14:textId="2B402FF8" w:rsidR="00386B7A" w:rsidRPr="00105FCC" w:rsidRDefault="00386B7A" w:rsidP="00E30EAA">
            <w:pPr>
              <w:spacing w:after="0"/>
              <w:rPr>
                <w:rFonts w:ascii="Calibri" w:eastAsia="Calibri" w:hAnsi="Calibri" w:cs="Calibri"/>
                <w:b/>
                <w:highlight w:val="darkGray"/>
              </w:rPr>
            </w:pPr>
            <w:r w:rsidRPr="00105FCC">
              <w:rPr>
                <w:rFonts w:ascii="Calibri" w:eastAsia="Calibri" w:hAnsi="Calibri" w:cs="Calibri"/>
                <w:b/>
                <w:highlight w:val="darkGray"/>
              </w:rPr>
              <w:t>2026.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14:paraId="431A56A4" w14:textId="7A680269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105FCC">
              <w:rPr>
                <w:rFonts w:ascii="Calibri" w:eastAsia="Calibri" w:hAnsi="Calibri" w:cs="Calibri"/>
                <w:b/>
                <w:highlight w:val="darkGray"/>
              </w:rPr>
              <w:t>2027.</w:t>
            </w:r>
          </w:p>
        </w:tc>
      </w:tr>
      <w:tr w:rsidR="00386B7A" w:rsidRPr="0091228A" w14:paraId="6E576E44" w14:textId="647AAAE4" w:rsidTr="00386B7A">
        <w:tc>
          <w:tcPr>
            <w:tcW w:w="3639" w:type="dxa"/>
          </w:tcPr>
          <w:p w14:paraId="00BCD34C" w14:textId="6EC028E1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91228A">
              <w:rPr>
                <w:rFonts w:ascii="Calibri" w:eastAsia="Calibri" w:hAnsi="Calibri" w:cs="Calibri"/>
                <w:b/>
                <w:bCs/>
              </w:rPr>
              <w:t>Infrastrukturni razvoj Sveučilišta u Slavonskom Brodu (PC 1.3.)</w:t>
            </w:r>
          </w:p>
        </w:tc>
        <w:tc>
          <w:tcPr>
            <w:tcW w:w="613" w:type="dxa"/>
            <w:shd w:val="clear" w:color="auto" w:fill="auto"/>
          </w:tcPr>
          <w:p w14:paraId="5A65C779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6702B7F0" w14:textId="5BB21894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6ED44100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6878C236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6759020A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13" w:type="dxa"/>
          </w:tcPr>
          <w:p w14:paraId="657781CA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</w:tcPr>
          <w:p w14:paraId="50FADA73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86B7A" w:rsidRPr="0091228A" w14:paraId="279E54E3" w14:textId="429B3DA7" w:rsidTr="00386B7A">
        <w:tc>
          <w:tcPr>
            <w:tcW w:w="3639" w:type="dxa"/>
          </w:tcPr>
          <w:p w14:paraId="5F819C64" w14:textId="4DD07150" w:rsidR="00386B7A" w:rsidRPr="0091228A" w:rsidRDefault="00386B7A" w:rsidP="00E16022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1228A">
              <w:rPr>
                <w:b/>
              </w:rPr>
              <w:t>Unapređenje kvalitete sustava odgoja i obrazovanja (PC 1.3.)</w:t>
            </w:r>
          </w:p>
        </w:tc>
        <w:tc>
          <w:tcPr>
            <w:tcW w:w="613" w:type="dxa"/>
            <w:shd w:val="clear" w:color="auto" w:fill="auto"/>
          </w:tcPr>
          <w:p w14:paraId="24B3DB18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0A59870B" w14:textId="0DA24168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14F5DFB1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7EF97A94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6D2F34DD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14:paraId="0511A0E2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14:paraId="5898FB45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86B7A" w:rsidRPr="0091228A" w14:paraId="7A5CA5AB" w14:textId="7FEC6A77" w:rsidTr="00386B7A">
        <w:tc>
          <w:tcPr>
            <w:tcW w:w="3639" w:type="dxa"/>
          </w:tcPr>
          <w:p w14:paraId="2B2E2A94" w14:textId="5652F5AB" w:rsidR="00386B7A" w:rsidRPr="0091228A" w:rsidRDefault="00386B7A" w:rsidP="00E16022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91228A">
              <w:rPr>
                <w:rFonts w:ascii="Calibri" w:eastAsia="Calibri" w:hAnsi="Calibri" w:cs="Calibri"/>
                <w:b/>
                <w:bCs/>
              </w:rPr>
              <w:t>Ulaganje u unapređenje sustava zdravstvene zaštite (PC 2.2.)</w:t>
            </w:r>
          </w:p>
        </w:tc>
        <w:tc>
          <w:tcPr>
            <w:tcW w:w="613" w:type="dxa"/>
            <w:shd w:val="clear" w:color="auto" w:fill="auto"/>
          </w:tcPr>
          <w:p w14:paraId="5E556EFC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25243D9E" w14:textId="22E8F6EC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27DFC0D6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169A1ED8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309AA03F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14:paraId="4125DC79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14:paraId="2BBD66B8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86B7A" w:rsidRPr="0091228A" w14:paraId="55F8AFBD" w14:textId="1C1A74B1" w:rsidTr="00386B7A">
        <w:tc>
          <w:tcPr>
            <w:tcW w:w="3639" w:type="dxa"/>
          </w:tcPr>
          <w:p w14:paraId="76B8865C" w14:textId="06C23F2E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91228A">
              <w:rPr>
                <w:rFonts w:ascii="Calibri" w:eastAsia="Calibri" w:hAnsi="Calibri" w:cs="Calibri"/>
                <w:b/>
                <w:bCs/>
              </w:rPr>
              <w:t>Izgradnja sustava navodnjavanja za cjelokupno područje BPŽ</w:t>
            </w:r>
            <w:r>
              <w:rPr>
                <w:rFonts w:ascii="Calibri" w:eastAsia="Calibri" w:hAnsi="Calibri" w:cs="Calibri"/>
                <w:b/>
                <w:bCs/>
              </w:rPr>
              <w:t>-a</w:t>
            </w:r>
            <w:r w:rsidRPr="0091228A">
              <w:rPr>
                <w:rFonts w:ascii="Calibri" w:eastAsia="Calibri" w:hAnsi="Calibri" w:cs="Calibri"/>
                <w:b/>
                <w:bCs/>
              </w:rPr>
              <w:t xml:space="preserve"> (PC 3.2.)</w:t>
            </w:r>
          </w:p>
        </w:tc>
        <w:tc>
          <w:tcPr>
            <w:tcW w:w="613" w:type="dxa"/>
            <w:shd w:val="clear" w:color="auto" w:fill="D9D9D9" w:themeFill="background1" w:themeFillShade="D9"/>
          </w:tcPr>
          <w:p w14:paraId="367A7E9A" w14:textId="5D27C7A5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2020. 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20075FF3" w14:textId="0E8F9CAE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616E8B35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1537E556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72D39298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14:paraId="4E9A7A59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14:paraId="3DFB6798" w14:textId="6EFF742F" w:rsidR="00386B7A" w:rsidRPr="0091228A" w:rsidRDefault="00386B7A" w:rsidP="006C212F">
            <w:pPr>
              <w:spacing w:after="0"/>
              <w:rPr>
                <w:rFonts w:ascii="Calibri" w:eastAsia="Calibri" w:hAnsi="Calibri" w:cs="Calibri"/>
              </w:rPr>
            </w:pPr>
            <w:r w:rsidRPr="0091228A">
              <w:rPr>
                <w:rFonts w:ascii="Calibri" w:eastAsia="Calibri" w:hAnsi="Calibri" w:cs="Calibri"/>
              </w:rPr>
              <w:t>završetak 2030.</w:t>
            </w:r>
          </w:p>
        </w:tc>
      </w:tr>
      <w:tr w:rsidR="00386B7A" w:rsidRPr="0091228A" w14:paraId="6050CFEC" w14:textId="70C1FC05" w:rsidTr="00386B7A">
        <w:tc>
          <w:tcPr>
            <w:tcW w:w="3639" w:type="dxa"/>
          </w:tcPr>
          <w:p w14:paraId="407AC3EC" w14:textId="2B282F29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91228A">
              <w:rPr>
                <w:rFonts w:ascii="Calibri" w:eastAsia="Calibri" w:hAnsi="Calibri" w:cs="Calibri"/>
                <w:b/>
                <w:bCs/>
              </w:rPr>
              <w:t>Regionalni centar za gospodarenje otpadom (RCGO Šagulje) (PC 3.4.)</w:t>
            </w:r>
          </w:p>
        </w:tc>
        <w:tc>
          <w:tcPr>
            <w:tcW w:w="613" w:type="dxa"/>
            <w:shd w:val="clear" w:color="auto" w:fill="auto"/>
          </w:tcPr>
          <w:p w14:paraId="01B04DAE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40BAFB8B" w14:textId="1457A70D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5E4BF14A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0B5D64F9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0C663266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14:paraId="2029A2A0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59" w:type="dxa"/>
          </w:tcPr>
          <w:p w14:paraId="5CEE48CC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</w:tr>
      <w:tr w:rsidR="00386B7A" w:rsidRPr="0091228A" w14:paraId="0C32A9FD" w14:textId="3C6B930D" w:rsidTr="00AA4FE8">
        <w:tc>
          <w:tcPr>
            <w:tcW w:w="3639" w:type="dxa"/>
            <w:shd w:val="clear" w:color="auto" w:fill="auto"/>
          </w:tcPr>
          <w:p w14:paraId="17457511" w14:textId="7AE933E0" w:rsidR="00386B7A" w:rsidRPr="0091228A" w:rsidRDefault="00386B7A" w:rsidP="00E16022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AA4FE8">
              <w:rPr>
                <w:rFonts w:ascii="Calibri" w:eastAsia="Calibri" w:hAnsi="Calibri" w:cs="Calibri"/>
                <w:b/>
                <w:bCs/>
              </w:rPr>
              <w:t>Istočna vezna cesta, produžena Svačićeva u Slavonskom Brodu, Južna obilaznica: faza II (PC3.4.)</w:t>
            </w:r>
          </w:p>
        </w:tc>
        <w:tc>
          <w:tcPr>
            <w:tcW w:w="613" w:type="dxa"/>
          </w:tcPr>
          <w:p w14:paraId="2A56840F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5EA8C8F8" w14:textId="63A0C94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696F9ABB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61ECF4E7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1BF17D84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452CA815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14:paraId="05F52481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</w:tr>
      <w:tr w:rsidR="00386B7A" w:rsidRPr="0091228A" w14:paraId="3DBA29FF" w14:textId="288626FB" w:rsidTr="00386B7A">
        <w:tc>
          <w:tcPr>
            <w:tcW w:w="3639" w:type="dxa"/>
          </w:tcPr>
          <w:p w14:paraId="0EB004DD" w14:textId="3FBA7CD5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  <w:bookmarkStart w:id="26" w:name="_Hlk83283869"/>
            <w:r w:rsidRPr="0091228A">
              <w:rPr>
                <w:rFonts w:ascii="Calibri" w:eastAsia="Calibri" w:hAnsi="Calibri" w:cs="Calibri"/>
                <w:b/>
                <w:bCs/>
              </w:rPr>
              <w:t>Izgradnja infrastrukture u Luci Slavonski Brod</w:t>
            </w:r>
            <w:bookmarkEnd w:id="26"/>
          </w:p>
        </w:tc>
        <w:tc>
          <w:tcPr>
            <w:tcW w:w="613" w:type="dxa"/>
            <w:shd w:val="clear" w:color="auto" w:fill="auto"/>
          </w:tcPr>
          <w:p w14:paraId="45BD0C4A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11B73D5F" w14:textId="54150711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215A9D78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68BCF691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47A26404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14:paraId="6F4ADEFD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14:paraId="3D9234EA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</w:tr>
      <w:tr w:rsidR="00386B7A" w:rsidRPr="0091228A" w14:paraId="4F877E92" w14:textId="2D04C4A8" w:rsidTr="008D75EB">
        <w:tc>
          <w:tcPr>
            <w:tcW w:w="3639" w:type="dxa"/>
            <w:shd w:val="clear" w:color="auto" w:fill="auto"/>
          </w:tcPr>
          <w:p w14:paraId="29E9F63A" w14:textId="693A535D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D24EFD">
              <w:rPr>
                <w:rFonts w:ascii="Calibri" w:eastAsia="Calibri" w:hAnsi="Calibri" w:cs="Calibri"/>
                <w:b/>
                <w:bCs/>
              </w:rPr>
              <w:t>Brod 2 (PC 3.4.)</w:t>
            </w:r>
          </w:p>
        </w:tc>
        <w:tc>
          <w:tcPr>
            <w:tcW w:w="613" w:type="dxa"/>
            <w:shd w:val="clear" w:color="auto" w:fill="auto"/>
          </w:tcPr>
          <w:p w14:paraId="47384D37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0F97D9B4" w14:textId="008D490E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3F1D3B1B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62109333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2E9D602F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5287D679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59" w:type="dxa"/>
            <w:shd w:val="clear" w:color="auto" w:fill="auto"/>
          </w:tcPr>
          <w:p w14:paraId="2AF93E18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</w:tr>
      <w:tr w:rsidR="00386B7A" w:rsidRPr="0091228A" w14:paraId="22246C04" w14:textId="36CFE920" w:rsidTr="008D75EB">
        <w:tc>
          <w:tcPr>
            <w:tcW w:w="3639" w:type="dxa"/>
          </w:tcPr>
          <w:p w14:paraId="1C0F7903" w14:textId="1945D015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91228A">
              <w:rPr>
                <w:rFonts w:ascii="Calibri" w:eastAsia="Calibri" w:hAnsi="Calibri" w:cs="Calibri"/>
                <w:b/>
              </w:rPr>
              <w:t>Brod 3 (PC 3.4.)</w:t>
            </w:r>
          </w:p>
        </w:tc>
        <w:tc>
          <w:tcPr>
            <w:tcW w:w="613" w:type="dxa"/>
            <w:shd w:val="clear" w:color="auto" w:fill="auto"/>
          </w:tcPr>
          <w:p w14:paraId="03BFF4BF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18A236FE" w14:textId="55F71A7C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16D817DD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66C7E1ED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66" w:type="dxa"/>
            <w:shd w:val="clear" w:color="auto" w:fill="D9D9D9" w:themeFill="background1" w:themeFillShade="D9"/>
          </w:tcPr>
          <w:p w14:paraId="4C76106A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13" w:type="dxa"/>
            <w:shd w:val="clear" w:color="auto" w:fill="auto"/>
          </w:tcPr>
          <w:p w14:paraId="51B4D1DA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59" w:type="dxa"/>
          </w:tcPr>
          <w:p w14:paraId="612F3243" w14:textId="77777777" w:rsidR="00386B7A" w:rsidRPr="0091228A" w:rsidRDefault="00386B7A" w:rsidP="00E30EAA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</w:tr>
    </w:tbl>
    <w:p w14:paraId="6A50A2B4" w14:textId="59193AFC" w:rsidR="00E30EAA" w:rsidRDefault="00E30EAA" w:rsidP="00E30EAA">
      <w:pPr>
        <w:spacing w:after="160" w:line="259" w:lineRule="auto"/>
        <w:rPr>
          <w:rFonts w:ascii="Calibri" w:eastAsia="Calibri" w:hAnsi="Calibri" w:cs="Times New Roman"/>
        </w:rPr>
      </w:pPr>
    </w:p>
    <w:p w14:paraId="37F8B648" w14:textId="280D08DC" w:rsidR="00C55151" w:rsidRDefault="00C55151" w:rsidP="00E30EAA">
      <w:pPr>
        <w:spacing w:after="160" w:line="259" w:lineRule="auto"/>
        <w:rPr>
          <w:rFonts w:ascii="Calibri" w:eastAsia="Calibri" w:hAnsi="Calibri" w:cs="Times New Roman"/>
        </w:rPr>
      </w:pPr>
    </w:p>
    <w:p w14:paraId="1719A71B" w14:textId="73344CEC" w:rsidR="004C7B27" w:rsidRDefault="004C7B27" w:rsidP="00E30EAA">
      <w:pPr>
        <w:spacing w:after="160" w:line="259" w:lineRule="auto"/>
        <w:rPr>
          <w:rFonts w:ascii="Calibri" w:eastAsia="Calibri" w:hAnsi="Calibri" w:cs="Times New Roman"/>
        </w:rPr>
      </w:pPr>
    </w:p>
    <w:p w14:paraId="3877F3B8" w14:textId="21155C37" w:rsidR="004C7B27" w:rsidRDefault="004C7B27" w:rsidP="00E30EAA">
      <w:pPr>
        <w:spacing w:after="160" w:line="259" w:lineRule="auto"/>
        <w:rPr>
          <w:rFonts w:ascii="Calibri" w:eastAsia="Calibri" w:hAnsi="Calibri" w:cs="Times New Roman"/>
        </w:rPr>
      </w:pPr>
    </w:p>
    <w:p w14:paraId="4B7F78F4" w14:textId="14406443" w:rsidR="004C7B27" w:rsidRDefault="004C7B27" w:rsidP="00E30EAA">
      <w:pPr>
        <w:spacing w:after="160" w:line="259" w:lineRule="auto"/>
        <w:rPr>
          <w:rFonts w:ascii="Calibri" w:eastAsia="Calibri" w:hAnsi="Calibri" w:cs="Times New Roman"/>
        </w:rPr>
      </w:pPr>
    </w:p>
    <w:p w14:paraId="055314AB" w14:textId="4D25986E" w:rsidR="004C7B27" w:rsidRDefault="004C7B27" w:rsidP="00E30EAA">
      <w:pPr>
        <w:spacing w:after="160" w:line="259" w:lineRule="auto"/>
        <w:rPr>
          <w:rFonts w:ascii="Calibri" w:eastAsia="Calibri" w:hAnsi="Calibri" w:cs="Times New Roman"/>
        </w:rPr>
      </w:pPr>
    </w:p>
    <w:p w14:paraId="3655840F" w14:textId="2F080420" w:rsidR="004C7B27" w:rsidRDefault="004C7B27" w:rsidP="00E30EAA">
      <w:pPr>
        <w:spacing w:after="160" w:line="259" w:lineRule="auto"/>
        <w:rPr>
          <w:rFonts w:ascii="Calibri" w:eastAsia="Calibri" w:hAnsi="Calibri" w:cs="Times New Roman"/>
        </w:rPr>
      </w:pPr>
    </w:p>
    <w:p w14:paraId="61931DA9" w14:textId="73B83E47" w:rsidR="00502EED" w:rsidRDefault="00502EED" w:rsidP="00E30EAA">
      <w:pPr>
        <w:spacing w:after="160" w:line="259" w:lineRule="auto"/>
        <w:rPr>
          <w:rFonts w:ascii="Calibri" w:eastAsia="Calibri" w:hAnsi="Calibri" w:cs="Times New Roman"/>
        </w:rPr>
      </w:pPr>
    </w:p>
    <w:p w14:paraId="7E3A1683" w14:textId="64141A9F" w:rsidR="00502EED" w:rsidRDefault="00502EED" w:rsidP="00E30EAA">
      <w:pPr>
        <w:spacing w:after="160" w:line="259" w:lineRule="auto"/>
        <w:rPr>
          <w:rFonts w:ascii="Calibri" w:eastAsia="Calibri" w:hAnsi="Calibri" w:cs="Times New Roman"/>
        </w:rPr>
      </w:pPr>
    </w:p>
    <w:p w14:paraId="724E2F09" w14:textId="05BAB362" w:rsidR="00502EED" w:rsidRDefault="00502EED" w:rsidP="00E30EAA">
      <w:pPr>
        <w:spacing w:after="160" w:line="259" w:lineRule="auto"/>
        <w:rPr>
          <w:rFonts w:ascii="Calibri" w:eastAsia="Calibri" w:hAnsi="Calibri" w:cs="Times New Roman"/>
        </w:rPr>
      </w:pPr>
    </w:p>
    <w:p w14:paraId="66805F6F" w14:textId="77777777" w:rsidR="00502EED" w:rsidRDefault="00502EED" w:rsidP="00E30EAA">
      <w:pPr>
        <w:spacing w:after="160" w:line="259" w:lineRule="auto"/>
        <w:rPr>
          <w:rFonts w:ascii="Calibri" w:eastAsia="Calibri" w:hAnsi="Calibri" w:cs="Times New Roman"/>
        </w:rPr>
      </w:pPr>
    </w:p>
    <w:p w14:paraId="6847645E" w14:textId="7AE3F1D5" w:rsidR="00A92F9B" w:rsidRPr="001166C1" w:rsidRDefault="004A2F34" w:rsidP="00F6340E">
      <w:pPr>
        <w:pStyle w:val="Naslov1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27" w:name="_Toc84938286"/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INDIKATIVNI FINANCIJSKI OKVIR S PRIKAZOM FINANCIJSKIH PRETPOSTAVKI ZA PROVEDBU POSEBNIH CILJEVA PLANA RAZVOJA</w:t>
      </w:r>
      <w:bookmarkEnd w:id="27"/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1C7F4D82" w14:textId="77777777" w:rsidR="00386B7A" w:rsidRDefault="005A1EDB" w:rsidP="00DC7476">
      <w:pPr>
        <w:jc w:val="both"/>
        <w:rPr>
          <w:rFonts w:cstheme="minorHAnsi"/>
        </w:rPr>
      </w:pPr>
      <w:r w:rsidRPr="0091228A">
        <w:rPr>
          <w:rFonts w:cstheme="minorHAnsi"/>
        </w:rPr>
        <w:t>Za ostvarenje vizije razvoja Brodsko</w:t>
      </w:r>
      <w:r w:rsidR="00AA65EA">
        <w:rPr>
          <w:rFonts w:cstheme="minorHAnsi"/>
        </w:rPr>
        <w:t>-</w:t>
      </w:r>
      <w:r w:rsidRPr="0091228A">
        <w:rPr>
          <w:rFonts w:cstheme="minorHAnsi"/>
        </w:rPr>
        <w:t>posavske županije u razdoblju do 2027. godine prikazan</w:t>
      </w:r>
      <w:r w:rsidR="00D93E67">
        <w:rPr>
          <w:rFonts w:cstheme="minorHAnsi"/>
        </w:rPr>
        <w:t>i su prioriteti, posebni ciljevi i strateški projekti koje će provoditi i financirati ili sufinancirati Brodsko-posavska županija</w:t>
      </w:r>
      <w:r w:rsidR="00386B7A">
        <w:rPr>
          <w:rFonts w:cstheme="minorHAnsi"/>
        </w:rPr>
        <w:t xml:space="preserve">. Z to su planirana sredstva u proračunu u iznosu od </w:t>
      </w:r>
      <w:r w:rsidR="00EE7A85">
        <w:rPr>
          <w:rFonts w:cstheme="minorHAnsi"/>
        </w:rPr>
        <w:t>9.201.030.870,89</w:t>
      </w:r>
      <w:r w:rsidR="00745BA9" w:rsidRPr="005A4FC3">
        <w:rPr>
          <w:rFonts w:cstheme="minorHAnsi"/>
        </w:rPr>
        <w:t xml:space="preserve"> </w:t>
      </w:r>
      <w:r w:rsidR="005A4FC3">
        <w:rPr>
          <w:rFonts w:cstheme="minorHAnsi"/>
        </w:rPr>
        <w:t>k</w:t>
      </w:r>
      <w:r w:rsidR="005A4FC3" w:rsidRPr="005A4FC3">
        <w:rPr>
          <w:rFonts w:cstheme="minorHAnsi"/>
        </w:rPr>
        <w:t>n</w:t>
      </w:r>
      <w:r w:rsidRPr="005A4FC3">
        <w:rPr>
          <w:rFonts w:cstheme="minorHAnsi"/>
        </w:rPr>
        <w:t>.</w:t>
      </w:r>
      <w:r w:rsidRPr="0091228A">
        <w:rPr>
          <w:rFonts w:cstheme="minorHAnsi"/>
        </w:rPr>
        <w:t xml:space="preserve"> </w:t>
      </w:r>
    </w:p>
    <w:p w14:paraId="6BD6C8DC" w14:textId="7F831CD5" w:rsidR="00CD1D31" w:rsidRPr="0091228A" w:rsidRDefault="005A4FC3" w:rsidP="00DC7476">
      <w:pPr>
        <w:jc w:val="both"/>
        <w:rPr>
          <w:rFonts w:cstheme="minorHAnsi"/>
        </w:rPr>
      </w:pPr>
      <w:r>
        <w:rPr>
          <w:rFonts w:cstheme="minorHAnsi"/>
        </w:rPr>
        <w:t>Dio sredstva</w:t>
      </w:r>
      <w:r w:rsidR="00386B7A">
        <w:rPr>
          <w:rFonts w:cstheme="minorHAnsi"/>
        </w:rPr>
        <w:t xml:space="preserve"> za financiranje provedbe Plana razvoja BPŽ </w:t>
      </w:r>
      <w:r>
        <w:rPr>
          <w:rFonts w:cstheme="minorHAnsi"/>
        </w:rPr>
        <w:t>pribaviti će se iz drug</w:t>
      </w:r>
      <w:r w:rsidR="00386B7A">
        <w:rPr>
          <w:rFonts w:cstheme="minorHAnsi"/>
        </w:rPr>
        <w:t>ih izvora</w:t>
      </w:r>
      <w:r>
        <w:rPr>
          <w:rFonts w:cstheme="minorHAnsi"/>
        </w:rPr>
        <w:t xml:space="preserve"> </w:t>
      </w:r>
      <w:r w:rsidR="00386B7A">
        <w:rPr>
          <w:rFonts w:cstheme="minorHAnsi"/>
        </w:rPr>
        <w:t xml:space="preserve">poput državnog proračuna i proračuna jedinica lokalne samouprave te </w:t>
      </w:r>
      <w:r w:rsidR="00CD1D31" w:rsidRPr="005A4FC3">
        <w:rPr>
          <w:rFonts w:cstheme="minorHAnsi"/>
        </w:rPr>
        <w:t>kroz fondove</w:t>
      </w:r>
      <w:r w:rsidR="005A1EDB" w:rsidRPr="005A4FC3">
        <w:rPr>
          <w:rFonts w:cstheme="minorHAnsi"/>
        </w:rPr>
        <w:t xml:space="preserve"> </w:t>
      </w:r>
      <w:r w:rsidR="00CD1D31" w:rsidRPr="005A4FC3">
        <w:rPr>
          <w:rFonts w:cstheme="minorHAnsi"/>
        </w:rPr>
        <w:t>Europske</w:t>
      </w:r>
      <w:r w:rsidR="005A1EDB" w:rsidRPr="005A4FC3">
        <w:rPr>
          <w:rFonts w:cstheme="minorHAnsi"/>
        </w:rPr>
        <w:t xml:space="preserve"> unije.</w:t>
      </w:r>
      <w:r w:rsidR="005A1EDB" w:rsidRPr="0091228A">
        <w:rPr>
          <w:rFonts w:cstheme="minorHAnsi"/>
        </w:rPr>
        <w:t xml:space="preserve"> </w:t>
      </w:r>
    </w:p>
    <w:p w14:paraId="29E4A1C6" w14:textId="7B9D33CC" w:rsidR="005A1EDB" w:rsidRPr="0091228A" w:rsidRDefault="005A1EDB" w:rsidP="00DC7476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Za </w:t>
      </w:r>
      <w:r w:rsidR="00CD1D31" w:rsidRPr="0091228A">
        <w:rPr>
          <w:rFonts w:cstheme="minorHAnsi"/>
        </w:rPr>
        <w:t>ostvarivanje posebnih ciljeva u okviru p</w:t>
      </w:r>
      <w:r w:rsidRPr="0091228A">
        <w:rPr>
          <w:rFonts w:cstheme="minorHAnsi"/>
        </w:rPr>
        <w:t>rioritet</w:t>
      </w:r>
      <w:r w:rsidR="00CD1D31" w:rsidRPr="0091228A">
        <w:rPr>
          <w:rFonts w:cstheme="minorHAnsi"/>
        </w:rPr>
        <w:t>a</w:t>
      </w:r>
      <w:r w:rsidRPr="0091228A">
        <w:rPr>
          <w:rFonts w:cstheme="minorHAnsi"/>
        </w:rPr>
        <w:t xml:space="preserve"> 1. Razvoj konkurentnog i inovativnog gospodarstva  te rast zaposlenosti i stope obrazovanja</w:t>
      </w:r>
      <w:r w:rsidR="00EB01DB">
        <w:rPr>
          <w:rFonts w:cstheme="minorHAnsi"/>
        </w:rPr>
        <w:t>,</w:t>
      </w:r>
      <w:r w:rsidRPr="0091228A">
        <w:rPr>
          <w:rFonts w:cstheme="minorHAnsi"/>
        </w:rPr>
        <w:t xml:space="preserve"> </w:t>
      </w:r>
      <w:r w:rsidR="00CD1D31" w:rsidRPr="0091228A">
        <w:rPr>
          <w:rFonts w:cstheme="minorHAnsi"/>
        </w:rPr>
        <w:t xml:space="preserve"> planirana su sredstva u </w:t>
      </w:r>
      <w:r w:rsidR="00CD1D31" w:rsidRPr="00A24181">
        <w:rPr>
          <w:rFonts w:cstheme="minorHAnsi"/>
        </w:rPr>
        <w:t xml:space="preserve">iznosu  od </w:t>
      </w:r>
      <w:r w:rsidR="00EE7A85">
        <w:rPr>
          <w:rFonts w:cstheme="minorHAnsi"/>
        </w:rPr>
        <w:t>2.754.380.029,02 kn</w:t>
      </w:r>
      <w:r w:rsidR="00CD1D31" w:rsidRPr="00A24181">
        <w:rPr>
          <w:rFonts w:cstheme="minorHAnsi"/>
        </w:rPr>
        <w:t>.</w:t>
      </w:r>
      <w:r w:rsidR="00CD1D31" w:rsidRPr="0091228A">
        <w:rPr>
          <w:rFonts w:cstheme="minorHAnsi"/>
        </w:rPr>
        <w:t xml:space="preserve"> </w:t>
      </w:r>
    </w:p>
    <w:p w14:paraId="167DDF78" w14:textId="0C415AB4" w:rsidR="00745BA9" w:rsidRPr="0091228A" w:rsidRDefault="00CD1D31" w:rsidP="00DC7476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Za ostvarivanje posebnih ciljeva u okviru prioriteta </w:t>
      </w:r>
      <w:r w:rsidR="005A1EDB" w:rsidRPr="0091228A">
        <w:rPr>
          <w:rFonts w:cstheme="minorHAnsi"/>
        </w:rPr>
        <w:t>2. Demografska revitalizacija</w:t>
      </w:r>
      <w:r w:rsidR="00AA65EA">
        <w:rPr>
          <w:rFonts w:cstheme="minorHAnsi"/>
        </w:rPr>
        <w:t>,</w:t>
      </w:r>
      <w:r w:rsidR="005A1EDB" w:rsidRPr="0091228A">
        <w:rPr>
          <w:rFonts w:cstheme="minorHAnsi"/>
        </w:rPr>
        <w:t xml:space="preserve">  kvalitetan život i sigurnost za stabilan razvoj </w:t>
      </w:r>
      <w:r w:rsidRPr="0091228A">
        <w:rPr>
          <w:rFonts w:cstheme="minorHAnsi"/>
        </w:rPr>
        <w:t xml:space="preserve">planirana su sredstva </w:t>
      </w:r>
      <w:r w:rsidRPr="00EE7A85">
        <w:rPr>
          <w:rFonts w:cstheme="minorHAnsi"/>
        </w:rPr>
        <w:t xml:space="preserve">u iznosu od </w:t>
      </w:r>
      <w:r w:rsidR="00EE7A85" w:rsidRPr="00EE7A85">
        <w:rPr>
          <w:rFonts w:cstheme="minorHAnsi"/>
        </w:rPr>
        <w:t>5.31</w:t>
      </w:r>
      <w:r w:rsidR="00EE7A85">
        <w:rPr>
          <w:rFonts w:cstheme="minorHAnsi"/>
        </w:rPr>
        <w:t xml:space="preserve">0.668.438,65 </w:t>
      </w:r>
      <w:r w:rsidRPr="00EE7A85">
        <w:rPr>
          <w:rFonts w:cstheme="minorHAnsi"/>
        </w:rPr>
        <w:t>kn</w:t>
      </w:r>
      <w:r w:rsidR="00A34825" w:rsidRPr="00EE7A85">
        <w:rPr>
          <w:rFonts w:cstheme="minorHAnsi"/>
        </w:rPr>
        <w:t>.</w:t>
      </w:r>
      <w:r w:rsidR="00745BA9" w:rsidRPr="0091228A">
        <w:rPr>
          <w:rFonts w:cstheme="minorHAnsi"/>
        </w:rPr>
        <w:t xml:space="preserve"> </w:t>
      </w:r>
    </w:p>
    <w:p w14:paraId="75F2AA93" w14:textId="19C9FE0B" w:rsidR="005A1EDB" w:rsidRPr="0091228A" w:rsidRDefault="00CD1D31" w:rsidP="00DC7476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Za ostvarivanje posebnih ciljeva u okviru prioriteta </w:t>
      </w:r>
      <w:r w:rsidR="005A1EDB" w:rsidRPr="0091228A">
        <w:rPr>
          <w:rFonts w:cstheme="minorHAnsi"/>
        </w:rPr>
        <w:t>3. Zelena i digitalna tranzicija gospodarstva i društva</w:t>
      </w:r>
      <w:r w:rsidR="00EB01DB">
        <w:rPr>
          <w:rFonts w:cstheme="minorHAnsi"/>
        </w:rPr>
        <w:t>,</w:t>
      </w:r>
      <w:r w:rsidR="005A1EDB" w:rsidRPr="0091228A">
        <w:rPr>
          <w:rFonts w:cstheme="minorHAnsi"/>
        </w:rPr>
        <w:t xml:space="preserve"> </w:t>
      </w:r>
      <w:r w:rsidRPr="0091228A">
        <w:rPr>
          <w:rFonts w:cstheme="minorHAnsi"/>
        </w:rPr>
        <w:t xml:space="preserve">planirana su </w:t>
      </w:r>
      <w:r w:rsidRPr="00EE7A85">
        <w:rPr>
          <w:rFonts w:cstheme="minorHAnsi"/>
        </w:rPr>
        <w:t xml:space="preserve">sredstva u iznosu od </w:t>
      </w:r>
      <w:r w:rsidR="00EE7A85">
        <w:rPr>
          <w:rFonts w:cstheme="minorHAnsi"/>
        </w:rPr>
        <w:t xml:space="preserve">682.087.591,55 </w:t>
      </w:r>
      <w:r w:rsidRPr="00EE7A85">
        <w:rPr>
          <w:rFonts w:cstheme="minorHAnsi"/>
        </w:rPr>
        <w:t>kn</w:t>
      </w:r>
      <w:r w:rsidR="00A34825" w:rsidRPr="00EE7A85">
        <w:rPr>
          <w:rFonts w:cstheme="minorHAnsi"/>
        </w:rPr>
        <w:t>.</w:t>
      </w:r>
      <w:r w:rsidR="00745BA9" w:rsidRPr="0091228A">
        <w:rPr>
          <w:rFonts w:cstheme="minorHAnsi"/>
        </w:rPr>
        <w:t xml:space="preserve"> </w:t>
      </w:r>
    </w:p>
    <w:p w14:paraId="7986BB24" w14:textId="65F62A24" w:rsidR="005A1EDB" w:rsidRPr="00EE7A85" w:rsidRDefault="00CD1D31" w:rsidP="00DC7476">
      <w:pPr>
        <w:jc w:val="both"/>
        <w:rPr>
          <w:rFonts w:cstheme="minorHAnsi"/>
        </w:rPr>
      </w:pPr>
      <w:r w:rsidRPr="0091228A">
        <w:rPr>
          <w:rFonts w:cstheme="minorHAnsi"/>
        </w:rPr>
        <w:t xml:space="preserve">Za ostvarivanje posebnih ciljeva u okviru prioriteta </w:t>
      </w:r>
      <w:r w:rsidR="005A1EDB" w:rsidRPr="0091228A">
        <w:rPr>
          <w:rFonts w:cstheme="minorHAnsi"/>
        </w:rPr>
        <w:t xml:space="preserve">4. Jačanje  konkurentnosti </w:t>
      </w:r>
      <w:r w:rsidR="00EB01DB">
        <w:rPr>
          <w:rFonts w:cstheme="minorHAnsi"/>
        </w:rPr>
        <w:t>Ž</w:t>
      </w:r>
      <w:r w:rsidR="005A1EDB" w:rsidRPr="0091228A">
        <w:rPr>
          <w:rFonts w:cstheme="minorHAnsi"/>
        </w:rPr>
        <w:t xml:space="preserve">upanije i razvoj potpomognutih područja </w:t>
      </w:r>
      <w:r w:rsidRPr="0091228A">
        <w:rPr>
          <w:rFonts w:cstheme="minorHAnsi"/>
        </w:rPr>
        <w:t xml:space="preserve">planirana su </w:t>
      </w:r>
      <w:r w:rsidRPr="00EE7A85">
        <w:rPr>
          <w:rFonts w:cstheme="minorHAnsi"/>
        </w:rPr>
        <w:t xml:space="preserve">sredstva u iznosu od </w:t>
      </w:r>
      <w:r w:rsidR="00EE7A85" w:rsidRPr="00EE7A85">
        <w:rPr>
          <w:rFonts w:cstheme="minorHAnsi"/>
        </w:rPr>
        <w:t>453.894.811,67 kn</w:t>
      </w:r>
      <w:r w:rsidR="00A34825" w:rsidRPr="00EE7A85">
        <w:rPr>
          <w:rFonts w:cstheme="minorHAnsi"/>
        </w:rPr>
        <w:t>.</w:t>
      </w:r>
    </w:p>
    <w:p w14:paraId="71B37271" w14:textId="6B9D2439" w:rsidR="003542AF" w:rsidRDefault="003542AF" w:rsidP="00DC7476">
      <w:pPr>
        <w:jc w:val="both"/>
        <w:rPr>
          <w:rFonts w:cstheme="minorHAnsi"/>
        </w:rPr>
      </w:pPr>
    </w:p>
    <w:p w14:paraId="068384FD" w14:textId="7E918F22" w:rsidR="0033167D" w:rsidRDefault="0033167D" w:rsidP="00DC7476">
      <w:pPr>
        <w:jc w:val="both"/>
        <w:rPr>
          <w:rFonts w:cstheme="minorHAnsi"/>
        </w:rPr>
      </w:pPr>
    </w:p>
    <w:p w14:paraId="312D1885" w14:textId="65B19873" w:rsidR="0033167D" w:rsidRDefault="0033167D" w:rsidP="00DC7476">
      <w:pPr>
        <w:jc w:val="both"/>
        <w:rPr>
          <w:rFonts w:cstheme="minorHAnsi"/>
        </w:rPr>
      </w:pPr>
    </w:p>
    <w:p w14:paraId="69326A76" w14:textId="07CACDC1" w:rsidR="0033167D" w:rsidRDefault="0033167D" w:rsidP="00DC7476">
      <w:pPr>
        <w:jc w:val="both"/>
        <w:rPr>
          <w:rFonts w:cstheme="minorHAnsi"/>
        </w:rPr>
      </w:pPr>
    </w:p>
    <w:p w14:paraId="6C7255F2" w14:textId="77777777" w:rsidR="002E2849" w:rsidRDefault="002E2849" w:rsidP="00D43E97">
      <w:pPr>
        <w:pStyle w:val="Opisslike"/>
        <w:sectPr w:rsidR="002E2849" w:rsidSect="00D207DC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28" w:name="_Toc83978798"/>
    </w:p>
    <w:p w14:paraId="52188025" w14:textId="10356BB9" w:rsidR="005A1EDB" w:rsidRPr="0091228A" w:rsidRDefault="00D43E97" w:rsidP="00D43E97">
      <w:pPr>
        <w:pStyle w:val="Opisslike"/>
        <w:rPr>
          <w:rFonts w:cstheme="minorHAnsi"/>
        </w:rPr>
      </w:pPr>
      <w:r w:rsidRPr="0091228A">
        <w:lastRenderedPageBreak/>
        <w:t xml:space="preserve">Tablica </w:t>
      </w:r>
      <w:r w:rsidR="00D922ED">
        <w:rPr>
          <w:noProof/>
        </w:rPr>
        <w:fldChar w:fldCharType="begin"/>
      </w:r>
      <w:r w:rsidR="00D922ED">
        <w:rPr>
          <w:noProof/>
        </w:rPr>
        <w:instrText xml:space="preserve"> SEQ Tablica \* ARABIC </w:instrText>
      </w:r>
      <w:r w:rsidR="00D922ED">
        <w:rPr>
          <w:noProof/>
        </w:rPr>
        <w:fldChar w:fldCharType="separate"/>
      </w:r>
      <w:r w:rsidR="00975640">
        <w:rPr>
          <w:noProof/>
        </w:rPr>
        <w:t>6</w:t>
      </w:r>
      <w:r w:rsidR="00D922ED">
        <w:rPr>
          <w:noProof/>
        </w:rPr>
        <w:fldChar w:fldCharType="end"/>
      </w:r>
      <w:r w:rsidRPr="0091228A">
        <w:t xml:space="preserve">. </w:t>
      </w:r>
      <w:r w:rsidR="00DC7476" w:rsidRPr="0091228A">
        <w:rPr>
          <w:rFonts w:cstheme="minorHAnsi"/>
        </w:rPr>
        <w:t>Prikaz financijskog okvira za plan razvoja BPŽ</w:t>
      </w:r>
      <w:r w:rsidR="00EB01DB">
        <w:rPr>
          <w:rFonts w:cstheme="minorHAnsi"/>
        </w:rPr>
        <w:t>-a</w:t>
      </w:r>
      <w:bookmarkEnd w:id="28"/>
      <w:r w:rsidR="00DC7476" w:rsidRPr="0091228A">
        <w:rPr>
          <w:rFonts w:cstheme="minorHAnsi"/>
        </w:rPr>
        <w:t xml:space="preserve"> </w:t>
      </w:r>
    </w:p>
    <w:tbl>
      <w:tblPr>
        <w:tblStyle w:val="Reetkatablice"/>
        <w:tblW w:w="15618" w:type="dxa"/>
        <w:tblInd w:w="-794" w:type="dxa"/>
        <w:tblLayout w:type="fixed"/>
        <w:tblLook w:val="04A0" w:firstRow="1" w:lastRow="0" w:firstColumn="1" w:lastColumn="0" w:noHBand="0" w:noVBand="1"/>
      </w:tblPr>
      <w:tblGrid>
        <w:gridCol w:w="505"/>
        <w:gridCol w:w="2127"/>
        <w:gridCol w:w="1559"/>
        <w:gridCol w:w="1418"/>
        <w:gridCol w:w="1417"/>
        <w:gridCol w:w="1560"/>
        <w:gridCol w:w="1417"/>
        <w:gridCol w:w="1418"/>
        <w:gridCol w:w="1559"/>
        <w:gridCol w:w="1417"/>
        <w:gridCol w:w="1221"/>
      </w:tblGrid>
      <w:tr w:rsidR="00C5234C" w:rsidRPr="00865A34" w14:paraId="60A01E1F" w14:textId="77777777" w:rsidTr="00C5234C">
        <w:tc>
          <w:tcPr>
            <w:tcW w:w="505" w:type="dxa"/>
            <w:shd w:val="clear" w:color="auto" w:fill="D9D9D9" w:themeFill="background1" w:themeFillShade="D9"/>
            <w:hideMark/>
          </w:tcPr>
          <w:p w14:paraId="3901FB80" w14:textId="00CE6541" w:rsidR="00A74C5B" w:rsidRPr="00865A34" w:rsidRDefault="00C5234C" w:rsidP="00C5234C">
            <w:pPr>
              <w:spacing w:after="0"/>
              <w:rPr>
                <w:rFonts w:ascii="Arial Narrow" w:hAnsi="Arial Narrow" w:cstheme="minorHAnsi"/>
                <w:b/>
                <w:bCs/>
                <w:sz w:val="18"/>
              </w:rPr>
            </w:pPr>
            <w:r>
              <w:rPr>
                <w:rFonts w:ascii="Arial Narrow" w:hAnsi="Arial Narrow" w:cstheme="minorHAnsi"/>
                <w:b/>
                <w:bCs/>
                <w:sz w:val="18"/>
              </w:rPr>
              <w:t>PC</w:t>
            </w:r>
          </w:p>
        </w:tc>
        <w:tc>
          <w:tcPr>
            <w:tcW w:w="2127" w:type="dxa"/>
            <w:shd w:val="clear" w:color="auto" w:fill="D9D9D9" w:themeFill="background1" w:themeFillShade="D9"/>
            <w:hideMark/>
          </w:tcPr>
          <w:p w14:paraId="1C1A27C2" w14:textId="77777777" w:rsidR="00A74C5B" w:rsidRPr="00865A34" w:rsidRDefault="00A74C5B" w:rsidP="00633C04">
            <w:pPr>
              <w:spacing w:after="0"/>
              <w:rPr>
                <w:rFonts w:ascii="Arial Narrow" w:hAnsi="Arial Narrow" w:cstheme="minorHAnsi"/>
                <w:b/>
                <w:bCs/>
                <w:sz w:val="18"/>
              </w:rPr>
            </w:pPr>
            <w:r w:rsidRPr="00865A34">
              <w:rPr>
                <w:rFonts w:ascii="Arial Narrow" w:hAnsi="Arial Narrow" w:cstheme="minorHAnsi"/>
                <w:b/>
                <w:bCs/>
                <w:sz w:val="18"/>
              </w:rPr>
              <w:t xml:space="preserve">NAZIV POSEBNOG CILJA </w:t>
            </w:r>
          </w:p>
        </w:tc>
        <w:tc>
          <w:tcPr>
            <w:tcW w:w="1559" w:type="dxa"/>
            <w:shd w:val="clear" w:color="auto" w:fill="D9D9D9" w:themeFill="background1" w:themeFillShade="D9"/>
            <w:hideMark/>
          </w:tcPr>
          <w:p w14:paraId="3273F12E" w14:textId="6CF3EAE4" w:rsidR="00A74C5B" w:rsidRPr="00865A34" w:rsidRDefault="00A74C5B" w:rsidP="00EA7E45">
            <w:pPr>
              <w:spacing w:after="0"/>
              <w:rPr>
                <w:rFonts w:ascii="Arial Narrow" w:hAnsi="Arial Narrow" w:cstheme="minorHAnsi"/>
                <w:b/>
                <w:bCs/>
                <w:sz w:val="18"/>
              </w:rPr>
            </w:pPr>
            <w:r w:rsidRPr="00865A34">
              <w:rPr>
                <w:rFonts w:ascii="Arial Narrow" w:hAnsi="Arial Narrow" w:cstheme="minorHAnsi"/>
                <w:b/>
                <w:bCs/>
                <w:sz w:val="18"/>
              </w:rPr>
              <w:t>Ukupan procijenjeni trošak</w:t>
            </w:r>
            <w:r w:rsidRPr="00865A34">
              <w:rPr>
                <w:rFonts w:ascii="Arial Narrow" w:hAnsi="Arial Narrow" w:cstheme="minorHAnsi"/>
                <w:b/>
                <w:bCs/>
                <w:sz w:val="18"/>
              </w:rPr>
              <w:br/>
              <w:t xml:space="preserve">provedbe </w:t>
            </w:r>
            <w:r w:rsidR="00EA7E45">
              <w:rPr>
                <w:rFonts w:ascii="Arial Narrow" w:hAnsi="Arial Narrow" w:cstheme="minorHAnsi"/>
                <w:b/>
                <w:bCs/>
                <w:sz w:val="18"/>
              </w:rPr>
              <w:t xml:space="preserve">PC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19F8F3" w14:textId="3086DC7C" w:rsidR="00A74C5B" w:rsidRPr="00865A34" w:rsidRDefault="00A74C5B" w:rsidP="00633C04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18"/>
              </w:rPr>
            </w:pPr>
            <w:r w:rsidRPr="00865A34">
              <w:rPr>
                <w:rFonts w:ascii="Arial Narrow" w:hAnsi="Arial Narrow" w:cstheme="minorHAnsi"/>
                <w:b/>
                <w:bCs/>
                <w:sz w:val="18"/>
              </w:rPr>
              <w:t>2021</w:t>
            </w:r>
            <w:r w:rsidR="00910046" w:rsidRPr="00865A34">
              <w:rPr>
                <w:rFonts w:ascii="Arial Narrow" w:hAnsi="Arial Narrow" w:cstheme="minorHAnsi"/>
                <w:b/>
                <w:bCs/>
                <w:sz w:val="18"/>
              </w:rPr>
              <w:t>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550DC6D" w14:textId="40C54010" w:rsidR="00A74C5B" w:rsidRPr="00865A34" w:rsidRDefault="00A74C5B" w:rsidP="00633C04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18"/>
              </w:rPr>
            </w:pPr>
            <w:r w:rsidRPr="00865A34">
              <w:rPr>
                <w:rFonts w:ascii="Arial Narrow" w:hAnsi="Arial Narrow" w:cstheme="minorHAnsi"/>
                <w:b/>
                <w:bCs/>
                <w:sz w:val="18"/>
              </w:rPr>
              <w:t>2022</w:t>
            </w:r>
            <w:r w:rsidR="00910046" w:rsidRPr="00865A34">
              <w:rPr>
                <w:rFonts w:ascii="Arial Narrow" w:hAnsi="Arial Narrow" w:cstheme="minorHAnsi"/>
                <w:b/>
                <w:bCs/>
                <w:sz w:val="18"/>
              </w:rPr>
              <w:t>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2B0BD40" w14:textId="6A3784D2" w:rsidR="00A74C5B" w:rsidRPr="00865A34" w:rsidRDefault="00A74C5B" w:rsidP="00633C04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18"/>
              </w:rPr>
            </w:pPr>
            <w:r w:rsidRPr="00865A34">
              <w:rPr>
                <w:rFonts w:ascii="Arial Narrow" w:hAnsi="Arial Narrow" w:cstheme="minorHAnsi"/>
                <w:b/>
                <w:bCs/>
                <w:sz w:val="18"/>
              </w:rPr>
              <w:t>2023</w:t>
            </w:r>
            <w:r w:rsidR="00910046" w:rsidRPr="00865A34">
              <w:rPr>
                <w:rFonts w:ascii="Arial Narrow" w:hAnsi="Arial Narrow" w:cstheme="minorHAnsi"/>
                <w:b/>
                <w:bCs/>
                <w:sz w:val="18"/>
              </w:rPr>
              <w:t>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88B9942" w14:textId="6EEF526A" w:rsidR="00A74C5B" w:rsidRPr="00865A34" w:rsidRDefault="00A74C5B" w:rsidP="00633C04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18"/>
              </w:rPr>
            </w:pPr>
            <w:r w:rsidRPr="00865A34">
              <w:rPr>
                <w:rFonts w:ascii="Arial Narrow" w:hAnsi="Arial Narrow" w:cstheme="minorHAnsi"/>
                <w:b/>
                <w:bCs/>
                <w:sz w:val="18"/>
              </w:rPr>
              <w:t>2024</w:t>
            </w:r>
            <w:r w:rsidR="00910046" w:rsidRPr="00865A34">
              <w:rPr>
                <w:rFonts w:ascii="Arial Narrow" w:hAnsi="Arial Narrow" w:cstheme="minorHAnsi"/>
                <w:b/>
                <w:bCs/>
                <w:sz w:val="18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F8E36D" w14:textId="6E399C73" w:rsidR="00A74C5B" w:rsidRPr="00865A34" w:rsidRDefault="00A74C5B" w:rsidP="00633C04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18"/>
              </w:rPr>
            </w:pPr>
            <w:r w:rsidRPr="00865A34">
              <w:rPr>
                <w:rFonts w:ascii="Arial Narrow" w:hAnsi="Arial Narrow" w:cstheme="minorHAnsi"/>
                <w:b/>
                <w:bCs/>
                <w:sz w:val="18"/>
              </w:rPr>
              <w:t>2025</w:t>
            </w:r>
            <w:r w:rsidR="00910046" w:rsidRPr="00865A34">
              <w:rPr>
                <w:rFonts w:ascii="Arial Narrow" w:hAnsi="Arial Narrow" w:cstheme="minorHAnsi"/>
                <w:b/>
                <w:bCs/>
                <w:sz w:val="18"/>
              </w:rPr>
              <w:t>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F8AC39F" w14:textId="3333D001" w:rsidR="00A74C5B" w:rsidRPr="00865A34" w:rsidRDefault="00A74C5B" w:rsidP="00633C04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18"/>
              </w:rPr>
            </w:pPr>
            <w:r w:rsidRPr="00865A34">
              <w:rPr>
                <w:rFonts w:ascii="Arial Narrow" w:hAnsi="Arial Narrow" w:cstheme="minorHAnsi"/>
                <w:b/>
                <w:bCs/>
                <w:sz w:val="18"/>
              </w:rPr>
              <w:t>2026</w:t>
            </w:r>
            <w:r w:rsidR="00910046" w:rsidRPr="00865A34">
              <w:rPr>
                <w:rFonts w:ascii="Arial Narrow" w:hAnsi="Arial Narrow" w:cstheme="minorHAnsi"/>
                <w:b/>
                <w:bCs/>
                <w:sz w:val="18"/>
              </w:rPr>
              <w:t>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177C990" w14:textId="65BF8350" w:rsidR="00A74C5B" w:rsidRPr="00865A34" w:rsidRDefault="00A74C5B" w:rsidP="00633C04">
            <w:pPr>
              <w:spacing w:after="0"/>
              <w:jc w:val="center"/>
              <w:rPr>
                <w:rFonts w:ascii="Arial Narrow" w:hAnsi="Arial Narrow" w:cstheme="minorHAnsi"/>
                <w:b/>
                <w:bCs/>
                <w:sz w:val="18"/>
              </w:rPr>
            </w:pPr>
            <w:r w:rsidRPr="00865A34">
              <w:rPr>
                <w:rFonts w:ascii="Arial Narrow" w:hAnsi="Arial Narrow" w:cstheme="minorHAnsi"/>
                <w:b/>
                <w:bCs/>
                <w:sz w:val="18"/>
              </w:rPr>
              <w:t>2027</w:t>
            </w:r>
            <w:r w:rsidR="00910046" w:rsidRPr="00865A34">
              <w:rPr>
                <w:rFonts w:ascii="Arial Narrow" w:hAnsi="Arial Narrow" w:cstheme="minorHAnsi"/>
                <w:b/>
                <w:bCs/>
                <w:sz w:val="18"/>
              </w:rPr>
              <w:t>.</w:t>
            </w:r>
          </w:p>
        </w:tc>
        <w:tc>
          <w:tcPr>
            <w:tcW w:w="1221" w:type="dxa"/>
            <w:shd w:val="clear" w:color="auto" w:fill="D9D9D9" w:themeFill="background1" w:themeFillShade="D9"/>
            <w:hideMark/>
          </w:tcPr>
          <w:p w14:paraId="24F831ED" w14:textId="4EFF4145" w:rsidR="00A74C5B" w:rsidRPr="00865A34" w:rsidRDefault="00A74C5B" w:rsidP="00633C04">
            <w:pPr>
              <w:spacing w:after="0"/>
              <w:rPr>
                <w:rFonts w:ascii="Arial Narrow" w:hAnsi="Arial Narrow" w:cstheme="minorHAnsi"/>
                <w:b/>
                <w:bCs/>
                <w:sz w:val="18"/>
              </w:rPr>
            </w:pPr>
            <w:r w:rsidRPr="00865A34">
              <w:rPr>
                <w:rFonts w:ascii="Arial Narrow" w:hAnsi="Arial Narrow" w:cstheme="minorHAnsi"/>
                <w:b/>
                <w:bCs/>
                <w:sz w:val="18"/>
              </w:rPr>
              <w:t>Program u proračunu BPŽ-a</w:t>
            </w:r>
          </w:p>
        </w:tc>
      </w:tr>
      <w:tr w:rsidR="00141C07" w:rsidRPr="00865A34" w14:paraId="108A2EFA" w14:textId="77777777" w:rsidTr="00C5234C">
        <w:tc>
          <w:tcPr>
            <w:tcW w:w="505" w:type="dxa"/>
            <w:hideMark/>
          </w:tcPr>
          <w:p w14:paraId="79B080F9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bookmarkStart w:id="29" w:name="_Hlk84341324"/>
            <w:r w:rsidRPr="00865A34">
              <w:rPr>
                <w:rFonts w:ascii="Arial Narrow" w:hAnsi="Arial Narrow" w:cstheme="minorHAnsi"/>
                <w:sz w:val="18"/>
              </w:rPr>
              <w:t>1.</w:t>
            </w:r>
          </w:p>
        </w:tc>
        <w:tc>
          <w:tcPr>
            <w:tcW w:w="2127" w:type="dxa"/>
            <w:hideMark/>
          </w:tcPr>
          <w:p w14:paraId="0350B803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Razvoj kreativnog i inovativnog poduzetništva</w:t>
            </w:r>
          </w:p>
        </w:tc>
        <w:tc>
          <w:tcPr>
            <w:tcW w:w="1559" w:type="dxa"/>
          </w:tcPr>
          <w:p w14:paraId="4AAFFFC4" w14:textId="6A0C23C1" w:rsidR="00141C07" w:rsidRPr="00C5234C" w:rsidRDefault="00141C07" w:rsidP="00C5234C">
            <w:pPr>
              <w:spacing w:after="0"/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</w:pP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>24.722.000,00</w:t>
            </w:r>
            <w:r w:rsidR="00C5234C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 xml:space="preserve"> </w:t>
            </w: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>kn</w:t>
            </w:r>
          </w:p>
        </w:tc>
        <w:tc>
          <w:tcPr>
            <w:tcW w:w="1418" w:type="dxa"/>
          </w:tcPr>
          <w:p w14:paraId="06C0D7A9" w14:textId="0CF5F643" w:rsidR="00141C07" w:rsidRPr="00865A34" w:rsidRDefault="00141C07" w:rsidP="00C5234C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>4.562.000,00</w:t>
            </w:r>
            <w:r w:rsidR="00C5234C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 </w:t>
            </w: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kn </w:t>
            </w:r>
          </w:p>
        </w:tc>
        <w:tc>
          <w:tcPr>
            <w:tcW w:w="1417" w:type="dxa"/>
          </w:tcPr>
          <w:p w14:paraId="2E29F762" w14:textId="736DB16E" w:rsidR="00141C07" w:rsidRPr="00865A34" w:rsidRDefault="00141C07" w:rsidP="00C5234C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>3.360.000,00</w:t>
            </w:r>
            <w:r w:rsidR="00C5234C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 </w:t>
            </w: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kn </w:t>
            </w:r>
          </w:p>
        </w:tc>
        <w:tc>
          <w:tcPr>
            <w:tcW w:w="1560" w:type="dxa"/>
          </w:tcPr>
          <w:p w14:paraId="22D1CFF3" w14:textId="58F8EEF7" w:rsidR="00141C07" w:rsidRPr="00865A34" w:rsidRDefault="00141C07" w:rsidP="00C5234C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>3.360.000,00</w:t>
            </w:r>
            <w:r w:rsidR="00C5234C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 </w:t>
            </w: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kn </w:t>
            </w:r>
          </w:p>
        </w:tc>
        <w:tc>
          <w:tcPr>
            <w:tcW w:w="1417" w:type="dxa"/>
          </w:tcPr>
          <w:p w14:paraId="0EDEEFAC" w14:textId="028ADDE2" w:rsidR="00141C07" w:rsidRPr="00865A34" w:rsidRDefault="00141C07" w:rsidP="00C5234C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>3.360.000,00</w:t>
            </w:r>
            <w:r w:rsidR="00C5234C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 </w:t>
            </w: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kn </w:t>
            </w:r>
          </w:p>
        </w:tc>
        <w:tc>
          <w:tcPr>
            <w:tcW w:w="1418" w:type="dxa"/>
          </w:tcPr>
          <w:p w14:paraId="45E13D4F" w14:textId="04FA90A2" w:rsidR="00141C07" w:rsidRPr="00865A34" w:rsidRDefault="00141C07" w:rsidP="00C5234C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>3.360.000,00</w:t>
            </w:r>
            <w:r w:rsidR="00C5234C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 </w:t>
            </w: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kn </w:t>
            </w:r>
          </w:p>
        </w:tc>
        <w:tc>
          <w:tcPr>
            <w:tcW w:w="1559" w:type="dxa"/>
          </w:tcPr>
          <w:p w14:paraId="4DDAC4ED" w14:textId="31296F53" w:rsidR="00141C07" w:rsidRPr="00865A34" w:rsidRDefault="00141C07" w:rsidP="00C5234C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>3.360.000,00</w:t>
            </w:r>
            <w:r w:rsidR="00C5234C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 </w:t>
            </w: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kn </w:t>
            </w:r>
          </w:p>
        </w:tc>
        <w:tc>
          <w:tcPr>
            <w:tcW w:w="1417" w:type="dxa"/>
          </w:tcPr>
          <w:p w14:paraId="4C0D825F" w14:textId="7336CC49" w:rsidR="00141C07" w:rsidRPr="00865A34" w:rsidRDefault="00141C07" w:rsidP="00C5234C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>3.360.000,00</w:t>
            </w:r>
            <w:r w:rsidR="00C5234C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 </w:t>
            </w: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kn </w:t>
            </w:r>
          </w:p>
        </w:tc>
        <w:tc>
          <w:tcPr>
            <w:tcW w:w="1221" w:type="dxa"/>
          </w:tcPr>
          <w:p w14:paraId="143B8D6C" w14:textId="4D821838" w:rsidR="00197987" w:rsidRPr="00865A34" w:rsidRDefault="0019798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Program 3000</w:t>
            </w:r>
            <w:r w:rsidR="004C7B27">
              <w:rPr>
                <w:rFonts w:ascii="Arial Narrow" w:hAnsi="Arial Narrow" w:cstheme="minorHAnsi"/>
                <w:sz w:val="18"/>
              </w:rPr>
              <w:t>,</w:t>
            </w:r>
          </w:p>
          <w:p w14:paraId="5CF3D048" w14:textId="2433F6D8" w:rsidR="00141C07" w:rsidRPr="00865A34" w:rsidRDefault="0019798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4000</w:t>
            </w:r>
          </w:p>
        </w:tc>
      </w:tr>
      <w:tr w:rsidR="00141C07" w:rsidRPr="00865A34" w14:paraId="14688C4A" w14:textId="77777777" w:rsidTr="00C5234C">
        <w:tc>
          <w:tcPr>
            <w:tcW w:w="505" w:type="dxa"/>
            <w:hideMark/>
          </w:tcPr>
          <w:p w14:paraId="75614C19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2.</w:t>
            </w:r>
          </w:p>
        </w:tc>
        <w:tc>
          <w:tcPr>
            <w:tcW w:w="2127" w:type="dxa"/>
            <w:hideMark/>
          </w:tcPr>
          <w:p w14:paraId="30B14256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Osiguranje perspektivnog tržišta rada i zapošljavanje</w:t>
            </w:r>
          </w:p>
        </w:tc>
        <w:tc>
          <w:tcPr>
            <w:tcW w:w="1559" w:type="dxa"/>
          </w:tcPr>
          <w:p w14:paraId="1B4A9C69" w14:textId="5D40B443" w:rsidR="00141C07" w:rsidRPr="00865A34" w:rsidRDefault="00086E89" w:rsidP="00633C04">
            <w:pPr>
              <w:spacing w:after="0"/>
              <w:jc w:val="right"/>
              <w:rPr>
                <w:rFonts w:ascii="Arial Narrow" w:hAnsi="Arial Narrow" w:cstheme="minorHAnsi"/>
                <w:b/>
                <w:sz w:val="18"/>
              </w:rPr>
            </w:pPr>
            <w:r>
              <w:rPr>
                <w:rFonts w:ascii="Arial Narrow" w:hAnsi="Arial Narrow" w:cstheme="minorHAnsi"/>
                <w:b/>
                <w:sz w:val="18"/>
              </w:rPr>
              <w:t>0</w:t>
            </w:r>
          </w:p>
        </w:tc>
        <w:tc>
          <w:tcPr>
            <w:tcW w:w="1418" w:type="dxa"/>
          </w:tcPr>
          <w:p w14:paraId="34987C12" w14:textId="0BE984F6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</w:p>
        </w:tc>
        <w:tc>
          <w:tcPr>
            <w:tcW w:w="1417" w:type="dxa"/>
          </w:tcPr>
          <w:p w14:paraId="0E15D0FA" w14:textId="75424F4F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</w:p>
        </w:tc>
        <w:tc>
          <w:tcPr>
            <w:tcW w:w="1560" w:type="dxa"/>
          </w:tcPr>
          <w:p w14:paraId="79446F94" w14:textId="5DF759F1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</w:p>
        </w:tc>
        <w:tc>
          <w:tcPr>
            <w:tcW w:w="1417" w:type="dxa"/>
          </w:tcPr>
          <w:p w14:paraId="40F4DE2E" w14:textId="541C550B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</w:p>
        </w:tc>
        <w:tc>
          <w:tcPr>
            <w:tcW w:w="1418" w:type="dxa"/>
          </w:tcPr>
          <w:p w14:paraId="4A5A3AF0" w14:textId="73A9CCA2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</w:p>
        </w:tc>
        <w:tc>
          <w:tcPr>
            <w:tcW w:w="1559" w:type="dxa"/>
          </w:tcPr>
          <w:p w14:paraId="07E3430E" w14:textId="1E53106C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</w:p>
        </w:tc>
        <w:tc>
          <w:tcPr>
            <w:tcW w:w="1417" w:type="dxa"/>
          </w:tcPr>
          <w:p w14:paraId="278AF5B4" w14:textId="32EF3864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</w:p>
        </w:tc>
        <w:tc>
          <w:tcPr>
            <w:tcW w:w="1221" w:type="dxa"/>
          </w:tcPr>
          <w:p w14:paraId="185F2058" w14:textId="3486A3DD" w:rsidR="00141C07" w:rsidRPr="00865A34" w:rsidRDefault="0026370E" w:rsidP="0026370E">
            <w:pPr>
              <w:spacing w:after="0"/>
              <w:jc w:val="center"/>
              <w:rPr>
                <w:rFonts w:ascii="Arial Narrow" w:hAnsi="Arial Narrow" w:cstheme="minorHAnsi"/>
                <w:sz w:val="18"/>
              </w:rPr>
            </w:pPr>
            <w:r>
              <w:rPr>
                <w:rFonts w:ascii="Arial Narrow" w:hAnsi="Arial Narrow" w:cstheme="minorHAnsi"/>
                <w:sz w:val="18"/>
              </w:rPr>
              <w:t>-</w:t>
            </w:r>
          </w:p>
        </w:tc>
      </w:tr>
      <w:tr w:rsidR="00141C07" w:rsidRPr="00865A34" w14:paraId="2BB6531A" w14:textId="77777777" w:rsidTr="00C5234C">
        <w:tc>
          <w:tcPr>
            <w:tcW w:w="505" w:type="dxa"/>
            <w:hideMark/>
          </w:tcPr>
          <w:p w14:paraId="521DC4AB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3.</w:t>
            </w:r>
          </w:p>
        </w:tc>
        <w:tc>
          <w:tcPr>
            <w:tcW w:w="2127" w:type="dxa"/>
            <w:hideMark/>
          </w:tcPr>
          <w:p w14:paraId="5B0EC63C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Razvoj znanosti i obrazovanja</w:t>
            </w:r>
          </w:p>
        </w:tc>
        <w:tc>
          <w:tcPr>
            <w:tcW w:w="1559" w:type="dxa"/>
          </w:tcPr>
          <w:p w14:paraId="60D7DE23" w14:textId="5BBCE897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>2.710.718.076,77 kn</w:t>
            </w:r>
          </w:p>
        </w:tc>
        <w:tc>
          <w:tcPr>
            <w:tcW w:w="1418" w:type="dxa"/>
          </w:tcPr>
          <w:p w14:paraId="1E4ADB64" w14:textId="7933D174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328.568.076,77 kn </w:t>
            </w:r>
          </w:p>
        </w:tc>
        <w:tc>
          <w:tcPr>
            <w:tcW w:w="1417" w:type="dxa"/>
          </w:tcPr>
          <w:p w14:paraId="4782EFB0" w14:textId="53F73EDC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412.225.000,00 kn </w:t>
            </w:r>
          </w:p>
        </w:tc>
        <w:tc>
          <w:tcPr>
            <w:tcW w:w="1560" w:type="dxa"/>
          </w:tcPr>
          <w:p w14:paraId="396A490D" w14:textId="4F33512B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432.225.000,00 kn </w:t>
            </w:r>
          </w:p>
        </w:tc>
        <w:tc>
          <w:tcPr>
            <w:tcW w:w="1417" w:type="dxa"/>
          </w:tcPr>
          <w:p w14:paraId="49038E65" w14:textId="7EBDB0E4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399.425.000,00 kn </w:t>
            </w:r>
          </w:p>
        </w:tc>
        <w:tc>
          <w:tcPr>
            <w:tcW w:w="1418" w:type="dxa"/>
          </w:tcPr>
          <w:p w14:paraId="0164B398" w14:textId="4E38059A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399.425.000,00 kn </w:t>
            </w:r>
          </w:p>
        </w:tc>
        <w:tc>
          <w:tcPr>
            <w:tcW w:w="1559" w:type="dxa"/>
          </w:tcPr>
          <w:p w14:paraId="1860A09C" w14:textId="563BB8A4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369.425.000,00 kn </w:t>
            </w:r>
          </w:p>
        </w:tc>
        <w:tc>
          <w:tcPr>
            <w:tcW w:w="1417" w:type="dxa"/>
          </w:tcPr>
          <w:p w14:paraId="4EA71AF1" w14:textId="4C27414C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369.425.000,00 kn </w:t>
            </w:r>
          </w:p>
        </w:tc>
        <w:tc>
          <w:tcPr>
            <w:tcW w:w="1221" w:type="dxa"/>
          </w:tcPr>
          <w:p w14:paraId="5471C599" w14:textId="13315D6D" w:rsidR="00141C07" w:rsidRPr="00865A34" w:rsidRDefault="0019798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Program 6000</w:t>
            </w:r>
          </w:p>
        </w:tc>
      </w:tr>
      <w:tr w:rsidR="00141C07" w:rsidRPr="00865A34" w14:paraId="63804F7D" w14:textId="77777777" w:rsidTr="00C5234C">
        <w:tc>
          <w:tcPr>
            <w:tcW w:w="505" w:type="dxa"/>
            <w:hideMark/>
          </w:tcPr>
          <w:p w14:paraId="38CFE1A4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4.</w:t>
            </w:r>
          </w:p>
        </w:tc>
        <w:tc>
          <w:tcPr>
            <w:tcW w:w="2127" w:type="dxa"/>
            <w:hideMark/>
          </w:tcPr>
          <w:p w14:paraId="1A101B82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Održivo korištenje prirodne i kulturne baštine za gospodarski rast i razvoj</w:t>
            </w:r>
          </w:p>
        </w:tc>
        <w:tc>
          <w:tcPr>
            <w:tcW w:w="1559" w:type="dxa"/>
          </w:tcPr>
          <w:p w14:paraId="76FC1647" w14:textId="5CF1573E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b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>18.939.952,25 kn</w:t>
            </w:r>
          </w:p>
        </w:tc>
        <w:tc>
          <w:tcPr>
            <w:tcW w:w="1418" w:type="dxa"/>
          </w:tcPr>
          <w:p w14:paraId="052CEE08" w14:textId="3CEC3007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3.639.952,25 kn </w:t>
            </w:r>
          </w:p>
        </w:tc>
        <w:tc>
          <w:tcPr>
            <w:tcW w:w="1417" w:type="dxa"/>
          </w:tcPr>
          <w:p w14:paraId="6BF8C1C6" w14:textId="4BFB4BE4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3.550.000,00 kn </w:t>
            </w:r>
          </w:p>
        </w:tc>
        <w:tc>
          <w:tcPr>
            <w:tcW w:w="1560" w:type="dxa"/>
          </w:tcPr>
          <w:p w14:paraId="2439FD76" w14:textId="029B5162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2.950.000,00 kn </w:t>
            </w:r>
          </w:p>
        </w:tc>
        <w:tc>
          <w:tcPr>
            <w:tcW w:w="1417" w:type="dxa"/>
          </w:tcPr>
          <w:p w14:paraId="02962E99" w14:textId="1B8DD121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2.200.000,00 kn </w:t>
            </w:r>
          </w:p>
        </w:tc>
        <w:tc>
          <w:tcPr>
            <w:tcW w:w="1418" w:type="dxa"/>
          </w:tcPr>
          <w:p w14:paraId="38B4AE74" w14:textId="2A9C9F22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2.200.000,00 kn </w:t>
            </w:r>
          </w:p>
        </w:tc>
        <w:tc>
          <w:tcPr>
            <w:tcW w:w="1559" w:type="dxa"/>
          </w:tcPr>
          <w:p w14:paraId="2C1DA7BD" w14:textId="5591920C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2.200.000,00 kn </w:t>
            </w:r>
          </w:p>
        </w:tc>
        <w:tc>
          <w:tcPr>
            <w:tcW w:w="1417" w:type="dxa"/>
          </w:tcPr>
          <w:p w14:paraId="48BAF30E" w14:textId="4C9CC720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2.200.000,00 kn </w:t>
            </w:r>
          </w:p>
        </w:tc>
        <w:tc>
          <w:tcPr>
            <w:tcW w:w="1221" w:type="dxa"/>
          </w:tcPr>
          <w:p w14:paraId="3FEF89A5" w14:textId="6A8E7F4B" w:rsidR="00197987" w:rsidRPr="00865A34" w:rsidRDefault="00197987" w:rsidP="004C7B27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Program 3000</w:t>
            </w:r>
            <w:r w:rsidR="004C7B27">
              <w:rPr>
                <w:rFonts w:ascii="Arial Narrow" w:hAnsi="Arial Narrow" w:cstheme="minorHAnsi"/>
                <w:sz w:val="18"/>
              </w:rPr>
              <w:t xml:space="preserve">, </w:t>
            </w:r>
            <w:r w:rsidRPr="00865A34">
              <w:rPr>
                <w:rFonts w:ascii="Arial Narrow" w:hAnsi="Arial Narrow" w:cstheme="minorHAnsi"/>
                <w:sz w:val="18"/>
              </w:rPr>
              <w:t>5000</w:t>
            </w:r>
          </w:p>
        </w:tc>
      </w:tr>
      <w:tr w:rsidR="00141C07" w:rsidRPr="00865A34" w14:paraId="611B9589" w14:textId="77777777" w:rsidTr="00C5234C">
        <w:tc>
          <w:tcPr>
            <w:tcW w:w="505" w:type="dxa"/>
            <w:hideMark/>
          </w:tcPr>
          <w:p w14:paraId="3E7126D0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5.</w:t>
            </w:r>
          </w:p>
        </w:tc>
        <w:tc>
          <w:tcPr>
            <w:tcW w:w="2127" w:type="dxa"/>
            <w:hideMark/>
          </w:tcPr>
          <w:p w14:paraId="15EADF8B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Demografski rast i aktivno življenje</w:t>
            </w:r>
          </w:p>
        </w:tc>
        <w:tc>
          <w:tcPr>
            <w:tcW w:w="1559" w:type="dxa"/>
          </w:tcPr>
          <w:p w14:paraId="6E8E9323" w14:textId="201FBB14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b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>910.000,00 kn</w:t>
            </w:r>
          </w:p>
        </w:tc>
        <w:tc>
          <w:tcPr>
            <w:tcW w:w="1418" w:type="dxa"/>
          </w:tcPr>
          <w:p w14:paraId="4F627517" w14:textId="40407CCE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130.000,00 kn </w:t>
            </w:r>
          </w:p>
        </w:tc>
        <w:tc>
          <w:tcPr>
            <w:tcW w:w="1417" w:type="dxa"/>
          </w:tcPr>
          <w:p w14:paraId="37FB90B9" w14:textId="0500B000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130.000,00 kn </w:t>
            </w:r>
          </w:p>
        </w:tc>
        <w:tc>
          <w:tcPr>
            <w:tcW w:w="1560" w:type="dxa"/>
          </w:tcPr>
          <w:p w14:paraId="7FF6F2FC" w14:textId="066C9638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130.000,00 kn </w:t>
            </w:r>
          </w:p>
        </w:tc>
        <w:tc>
          <w:tcPr>
            <w:tcW w:w="1417" w:type="dxa"/>
          </w:tcPr>
          <w:p w14:paraId="7A876EF7" w14:textId="0ECB87E3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130.000,00 kn </w:t>
            </w:r>
          </w:p>
        </w:tc>
        <w:tc>
          <w:tcPr>
            <w:tcW w:w="1418" w:type="dxa"/>
          </w:tcPr>
          <w:p w14:paraId="2E6FC1D7" w14:textId="3128C304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130.000,00 kn </w:t>
            </w:r>
          </w:p>
        </w:tc>
        <w:tc>
          <w:tcPr>
            <w:tcW w:w="1559" w:type="dxa"/>
          </w:tcPr>
          <w:p w14:paraId="319B4FF0" w14:textId="03CE4919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130.000,00 kn </w:t>
            </w:r>
          </w:p>
        </w:tc>
        <w:tc>
          <w:tcPr>
            <w:tcW w:w="1417" w:type="dxa"/>
          </w:tcPr>
          <w:p w14:paraId="175AAC83" w14:textId="1BD6F2FD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130.000,00 kn </w:t>
            </w:r>
          </w:p>
        </w:tc>
        <w:tc>
          <w:tcPr>
            <w:tcW w:w="1221" w:type="dxa"/>
          </w:tcPr>
          <w:p w14:paraId="6EAF9608" w14:textId="658F9F7E" w:rsidR="00141C07" w:rsidRPr="00865A34" w:rsidRDefault="00346D1B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Program 1000</w:t>
            </w:r>
          </w:p>
        </w:tc>
      </w:tr>
      <w:tr w:rsidR="00141C07" w:rsidRPr="00865A34" w14:paraId="55E7C195" w14:textId="77777777" w:rsidTr="00C5234C">
        <w:tc>
          <w:tcPr>
            <w:tcW w:w="505" w:type="dxa"/>
            <w:hideMark/>
          </w:tcPr>
          <w:p w14:paraId="02730040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6.</w:t>
            </w:r>
          </w:p>
        </w:tc>
        <w:tc>
          <w:tcPr>
            <w:tcW w:w="2127" w:type="dxa"/>
            <w:hideMark/>
          </w:tcPr>
          <w:p w14:paraId="10DD3BF8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Ulaganje u zdravstvenu i socijalnu skrb</w:t>
            </w:r>
          </w:p>
        </w:tc>
        <w:tc>
          <w:tcPr>
            <w:tcW w:w="1559" w:type="dxa"/>
          </w:tcPr>
          <w:p w14:paraId="12524CBA" w14:textId="7FB07D95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b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>5.110.446.057,60 kn</w:t>
            </w:r>
          </w:p>
        </w:tc>
        <w:tc>
          <w:tcPr>
            <w:tcW w:w="1418" w:type="dxa"/>
          </w:tcPr>
          <w:p w14:paraId="2A642F6F" w14:textId="7B8C3CE0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632.126.057,60 kn </w:t>
            </w:r>
          </w:p>
        </w:tc>
        <w:tc>
          <w:tcPr>
            <w:tcW w:w="1417" w:type="dxa"/>
          </w:tcPr>
          <w:p w14:paraId="1D04AE70" w14:textId="4E085602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683.220.000,00 kn </w:t>
            </w:r>
          </w:p>
        </w:tc>
        <w:tc>
          <w:tcPr>
            <w:tcW w:w="1560" w:type="dxa"/>
          </w:tcPr>
          <w:p w14:paraId="5D7F0C0B" w14:textId="30D875A7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717.420.000,00 kn </w:t>
            </w:r>
          </w:p>
        </w:tc>
        <w:tc>
          <w:tcPr>
            <w:tcW w:w="1417" w:type="dxa"/>
          </w:tcPr>
          <w:p w14:paraId="2B113AE1" w14:textId="7B2642DC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788.420.000,00 kn </w:t>
            </w:r>
          </w:p>
        </w:tc>
        <w:tc>
          <w:tcPr>
            <w:tcW w:w="1418" w:type="dxa"/>
          </w:tcPr>
          <w:p w14:paraId="1D89172C" w14:textId="05DFDECC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893.420.000,00 kn </w:t>
            </w:r>
          </w:p>
        </w:tc>
        <w:tc>
          <w:tcPr>
            <w:tcW w:w="1559" w:type="dxa"/>
          </w:tcPr>
          <w:p w14:paraId="47059E5F" w14:textId="7872E8BC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733.420.000,00 kn </w:t>
            </w:r>
          </w:p>
        </w:tc>
        <w:tc>
          <w:tcPr>
            <w:tcW w:w="1417" w:type="dxa"/>
          </w:tcPr>
          <w:p w14:paraId="5CBED4AD" w14:textId="6B577013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662.420.000,00 kn </w:t>
            </w:r>
          </w:p>
        </w:tc>
        <w:tc>
          <w:tcPr>
            <w:tcW w:w="1221" w:type="dxa"/>
          </w:tcPr>
          <w:p w14:paraId="7A562574" w14:textId="761734B3" w:rsidR="00346D1B" w:rsidRPr="00865A34" w:rsidRDefault="00346D1B" w:rsidP="004C7B27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Program 7000</w:t>
            </w:r>
            <w:r w:rsidR="004C7B27">
              <w:rPr>
                <w:rFonts w:ascii="Arial Narrow" w:hAnsi="Arial Narrow" w:cstheme="minorHAnsi"/>
                <w:sz w:val="18"/>
              </w:rPr>
              <w:t xml:space="preserve">, </w:t>
            </w:r>
            <w:r w:rsidRPr="00865A34">
              <w:rPr>
                <w:rFonts w:ascii="Arial Narrow" w:hAnsi="Arial Narrow" w:cstheme="minorHAnsi"/>
                <w:sz w:val="18"/>
              </w:rPr>
              <w:t>71000</w:t>
            </w:r>
          </w:p>
        </w:tc>
      </w:tr>
      <w:tr w:rsidR="00141C07" w:rsidRPr="00865A34" w14:paraId="498260FA" w14:textId="77777777" w:rsidTr="00C5234C">
        <w:tc>
          <w:tcPr>
            <w:tcW w:w="505" w:type="dxa"/>
            <w:hideMark/>
          </w:tcPr>
          <w:p w14:paraId="7D39E12A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7.</w:t>
            </w:r>
          </w:p>
        </w:tc>
        <w:tc>
          <w:tcPr>
            <w:tcW w:w="2127" w:type="dxa"/>
            <w:hideMark/>
          </w:tcPr>
          <w:p w14:paraId="307FFD13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Ulaganja u kulturu</w:t>
            </w:r>
          </w:p>
        </w:tc>
        <w:tc>
          <w:tcPr>
            <w:tcW w:w="1559" w:type="dxa"/>
          </w:tcPr>
          <w:p w14:paraId="391C7C46" w14:textId="6674796E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b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>199.312.381,05 kn</w:t>
            </w:r>
          </w:p>
        </w:tc>
        <w:tc>
          <w:tcPr>
            <w:tcW w:w="1418" w:type="dxa"/>
          </w:tcPr>
          <w:p w14:paraId="227C533D" w14:textId="58F56E63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14.412.381,05 kn </w:t>
            </w:r>
          </w:p>
        </w:tc>
        <w:tc>
          <w:tcPr>
            <w:tcW w:w="1417" w:type="dxa"/>
          </w:tcPr>
          <w:p w14:paraId="6742052C" w14:textId="5A98A79A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16.350.000,00 kn </w:t>
            </w:r>
          </w:p>
        </w:tc>
        <w:tc>
          <w:tcPr>
            <w:tcW w:w="1560" w:type="dxa"/>
          </w:tcPr>
          <w:p w14:paraId="424E6B3A" w14:textId="2D629E68" w:rsidR="00141C07" w:rsidRPr="00865A34" w:rsidRDefault="00141C07" w:rsidP="00C5234C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16.350.000,00 kn </w:t>
            </w:r>
          </w:p>
        </w:tc>
        <w:tc>
          <w:tcPr>
            <w:tcW w:w="1417" w:type="dxa"/>
          </w:tcPr>
          <w:p w14:paraId="3322D3FB" w14:textId="3B63BEFE" w:rsidR="00141C07" w:rsidRPr="00865A34" w:rsidRDefault="00141C07" w:rsidP="00C5234C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38.050.000,00 kn </w:t>
            </w:r>
          </w:p>
        </w:tc>
        <w:tc>
          <w:tcPr>
            <w:tcW w:w="1418" w:type="dxa"/>
          </w:tcPr>
          <w:p w14:paraId="5EF7A1FE" w14:textId="7CA2ED7D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38.050.000,00 kn </w:t>
            </w:r>
          </w:p>
        </w:tc>
        <w:tc>
          <w:tcPr>
            <w:tcW w:w="1559" w:type="dxa"/>
          </w:tcPr>
          <w:p w14:paraId="44C2D4AD" w14:textId="117DBEBD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38.050.000,00 kn </w:t>
            </w:r>
          </w:p>
        </w:tc>
        <w:tc>
          <w:tcPr>
            <w:tcW w:w="1417" w:type="dxa"/>
          </w:tcPr>
          <w:p w14:paraId="1AD9C986" w14:textId="200B028C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38.050.000,00 kn </w:t>
            </w:r>
          </w:p>
        </w:tc>
        <w:tc>
          <w:tcPr>
            <w:tcW w:w="1221" w:type="dxa"/>
          </w:tcPr>
          <w:p w14:paraId="14D85004" w14:textId="27D792D0" w:rsidR="00141C07" w:rsidRPr="00865A34" w:rsidRDefault="00346D1B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Program 6200</w:t>
            </w:r>
          </w:p>
        </w:tc>
      </w:tr>
      <w:tr w:rsidR="00141C07" w:rsidRPr="00865A34" w14:paraId="1CF4ED46" w14:textId="77777777" w:rsidTr="00C5234C">
        <w:tc>
          <w:tcPr>
            <w:tcW w:w="505" w:type="dxa"/>
            <w:hideMark/>
          </w:tcPr>
          <w:p w14:paraId="2EA1B2E2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8.</w:t>
            </w:r>
          </w:p>
        </w:tc>
        <w:tc>
          <w:tcPr>
            <w:tcW w:w="2127" w:type="dxa"/>
            <w:hideMark/>
          </w:tcPr>
          <w:p w14:paraId="0C58561B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Razvoj klasičnih grana gospodarstva korištenjem zelene i digitalne tranzicije</w:t>
            </w:r>
          </w:p>
        </w:tc>
        <w:tc>
          <w:tcPr>
            <w:tcW w:w="1559" w:type="dxa"/>
          </w:tcPr>
          <w:p w14:paraId="33EC00A8" w14:textId="421B155B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b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 xml:space="preserve">62.507.375,00 kn </w:t>
            </w:r>
          </w:p>
        </w:tc>
        <w:tc>
          <w:tcPr>
            <w:tcW w:w="1418" w:type="dxa"/>
          </w:tcPr>
          <w:p w14:paraId="7BB15010" w14:textId="55627993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2.507.375,00 kn </w:t>
            </w:r>
          </w:p>
        </w:tc>
        <w:tc>
          <w:tcPr>
            <w:tcW w:w="1417" w:type="dxa"/>
          </w:tcPr>
          <w:p w14:paraId="65014B57" w14:textId="3DDEE8D3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-   kn </w:t>
            </w:r>
          </w:p>
        </w:tc>
        <w:tc>
          <w:tcPr>
            <w:tcW w:w="1560" w:type="dxa"/>
          </w:tcPr>
          <w:p w14:paraId="70998416" w14:textId="2B96BA20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20.000.000,00 kn </w:t>
            </w:r>
          </w:p>
        </w:tc>
        <w:tc>
          <w:tcPr>
            <w:tcW w:w="1417" w:type="dxa"/>
          </w:tcPr>
          <w:p w14:paraId="42DE0158" w14:textId="506F1E70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20.000.000,00 kn </w:t>
            </w:r>
          </w:p>
        </w:tc>
        <w:tc>
          <w:tcPr>
            <w:tcW w:w="1418" w:type="dxa"/>
          </w:tcPr>
          <w:p w14:paraId="0FDB0F94" w14:textId="51EF8D19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20.000.000,00 kn </w:t>
            </w:r>
          </w:p>
        </w:tc>
        <w:tc>
          <w:tcPr>
            <w:tcW w:w="1559" w:type="dxa"/>
          </w:tcPr>
          <w:p w14:paraId="3A9EC248" w14:textId="6E04CCD3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-   kn </w:t>
            </w:r>
          </w:p>
        </w:tc>
        <w:tc>
          <w:tcPr>
            <w:tcW w:w="1417" w:type="dxa"/>
          </w:tcPr>
          <w:p w14:paraId="2C9020DB" w14:textId="4932A533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-   kn </w:t>
            </w:r>
          </w:p>
        </w:tc>
        <w:tc>
          <w:tcPr>
            <w:tcW w:w="1221" w:type="dxa"/>
          </w:tcPr>
          <w:p w14:paraId="7FE2055E" w14:textId="575BBCD6" w:rsidR="00141C07" w:rsidRPr="00865A34" w:rsidRDefault="00346D1B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Program 3000</w:t>
            </w:r>
          </w:p>
        </w:tc>
      </w:tr>
      <w:tr w:rsidR="00141C07" w:rsidRPr="00865A34" w14:paraId="24E42E5A" w14:textId="77777777" w:rsidTr="00C5234C">
        <w:tc>
          <w:tcPr>
            <w:tcW w:w="505" w:type="dxa"/>
            <w:hideMark/>
          </w:tcPr>
          <w:p w14:paraId="70F6F74E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9.</w:t>
            </w:r>
          </w:p>
        </w:tc>
        <w:tc>
          <w:tcPr>
            <w:tcW w:w="2127" w:type="dxa"/>
            <w:hideMark/>
          </w:tcPr>
          <w:p w14:paraId="4D7A68EA" w14:textId="0F7AE809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Razvoj bioekonomije</w:t>
            </w:r>
          </w:p>
        </w:tc>
        <w:tc>
          <w:tcPr>
            <w:tcW w:w="1559" w:type="dxa"/>
          </w:tcPr>
          <w:p w14:paraId="6C17C354" w14:textId="240F235F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b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 xml:space="preserve">194.396.528,00 kn </w:t>
            </w:r>
          </w:p>
        </w:tc>
        <w:tc>
          <w:tcPr>
            <w:tcW w:w="1418" w:type="dxa"/>
          </w:tcPr>
          <w:p w14:paraId="6D4DFD94" w14:textId="36F87AC2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40.376.528,00 kn </w:t>
            </w:r>
          </w:p>
        </w:tc>
        <w:tc>
          <w:tcPr>
            <w:tcW w:w="1417" w:type="dxa"/>
          </w:tcPr>
          <w:p w14:paraId="067CD458" w14:textId="758A2729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16.735.000,00 kn </w:t>
            </w:r>
          </w:p>
        </w:tc>
        <w:tc>
          <w:tcPr>
            <w:tcW w:w="1560" w:type="dxa"/>
          </w:tcPr>
          <w:p w14:paraId="149B230E" w14:textId="500D430F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15.745.000,00 kn </w:t>
            </w:r>
          </w:p>
        </w:tc>
        <w:tc>
          <w:tcPr>
            <w:tcW w:w="1417" w:type="dxa"/>
          </w:tcPr>
          <w:p w14:paraId="765F0C3D" w14:textId="27D27755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25.385.000,00 kn </w:t>
            </w:r>
          </w:p>
        </w:tc>
        <w:tc>
          <w:tcPr>
            <w:tcW w:w="1418" w:type="dxa"/>
          </w:tcPr>
          <w:p w14:paraId="00AA122D" w14:textId="5038CC66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35.385.000,00 kn </w:t>
            </w:r>
          </w:p>
        </w:tc>
        <w:tc>
          <w:tcPr>
            <w:tcW w:w="1559" w:type="dxa"/>
          </w:tcPr>
          <w:p w14:paraId="6C85B7AC" w14:textId="2E063AB3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35.385.000,00 kn </w:t>
            </w:r>
          </w:p>
        </w:tc>
        <w:tc>
          <w:tcPr>
            <w:tcW w:w="1417" w:type="dxa"/>
          </w:tcPr>
          <w:p w14:paraId="03D63CA6" w14:textId="4006B01B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25.385.000,00 kn </w:t>
            </w:r>
          </w:p>
        </w:tc>
        <w:tc>
          <w:tcPr>
            <w:tcW w:w="1221" w:type="dxa"/>
          </w:tcPr>
          <w:p w14:paraId="66AD640D" w14:textId="44AC3970" w:rsidR="00346D1B" w:rsidRPr="00865A34" w:rsidRDefault="00346D1B" w:rsidP="004C7B27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Program 3000</w:t>
            </w:r>
            <w:r w:rsidR="004C7B27">
              <w:rPr>
                <w:rFonts w:ascii="Arial Narrow" w:hAnsi="Arial Narrow" w:cstheme="minorHAnsi"/>
                <w:sz w:val="18"/>
              </w:rPr>
              <w:t xml:space="preserve">, </w:t>
            </w:r>
            <w:r w:rsidRPr="00865A34">
              <w:rPr>
                <w:rFonts w:ascii="Arial Narrow" w:hAnsi="Arial Narrow" w:cstheme="minorHAnsi"/>
                <w:sz w:val="18"/>
              </w:rPr>
              <w:t>4000</w:t>
            </w:r>
            <w:r w:rsidR="004C7B27">
              <w:rPr>
                <w:rFonts w:ascii="Arial Narrow" w:hAnsi="Arial Narrow" w:cstheme="minorHAnsi"/>
                <w:sz w:val="18"/>
              </w:rPr>
              <w:t xml:space="preserve">, </w:t>
            </w:r>
            <w:r w:rsidRPr="00865A34">
              <w:rPr>
                <w:rFonts w:ascii="Arial Narrow" w:hAnsi="Arial Narrow" w:cstheme="minorHAnsi"/>
                <w:sz w:val="18"/>
              </w:rPr>
              <w:t>4100</w:t>
            </w:r>
          </w:p>
        </w:tc>
      </w:tr>
      <w:tr w:rsidR="00141C07" w:rsidRPr="00865A34" w14:paraId="5BED9D47" w14:textId="77777777" w:rsidTr="00C5234C">
        <w:tc>
          <w:tcPr>
            <w:tcW w:w="505" w:type="dxa"/>
            <w:hideMark/>
          </w:tcPr>
          <w:p w14:paraId="4435AA8A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10.</w:t>
            </w:r>
          </w:p>
        </w:tc>
        <w:tc>
          <w:tcPr>
            <w:tcW w:w="2127" w:type="dxa"/>
            <w:hideMark/>
          </w:tcPr>
          <w:p w14:paraId="59DC58A8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Intenzivno korištenje obnovljivih izvora energije i podizanje energetske učinkovitosti</w:t>
            </w:r>
          </w:p>
        </w:tc>
        <w:tc>
          <w:tcPr>
            <w:tcW w:w="1559" w:type="dxa"/>
          </w:tcPr>
          <w:p w14:paraId="75420DC7" w14:textId="73CCA8C8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b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 xml:space="preserve">111.113.688,55 kn </w:t>
            </w:r>
          </w:p>
        </w:tc>
        <w:tc>
          <w:tcPr>
            <w:tcW w:w="1418" w:type="dxa"/>
          </w:tcPr>
          <w:p w14:paraId="542B4DC6" w14:textId="5B9ED5CC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82.873.688,55 kn </w:t>
            </w:r>
          </w:p>
        </w:tc>
        <w:tc>
          <w:tcPr>
            <w:tcW w:w="1417" w:type="dxa"/>
          </w:tcPr>
          <w:p w14:paraId="36B55DFC" w14:textId="777CD2B7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15.040.000,00 kn </w:t>
            </w:r>
          </w:p>
        </w:tc>
        <w:tc>
          <w:tcPr>
            <w:tcW w:w="1560" w:type="dxa"/>
          </w:tcPr>
          <w:p w14:paraId="75D49874" w14:textId="0AACADFF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6.040.000,00 kn </w:t>
            </w:r>
          </w:p>
        </w:tc>
        <w:tc>
          <w:tcPr>
            <w:tcW w:w="1417" w:type="dxa"/>
          </w:tcPr>
          <w:p w14:paraId="4C9E1A16" w14:textId="1D9BB853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4.040.000,00 kn </w:t>
            </w:r>
          </w:p>
        </w:tc>
        <w:tc>
          <w:tcPr>
            <w:tcW w:w="1418" w:type="dxa"/>
          </w:tcPr>
          <w:p w14:paraId="565EC4A0" w14:textId="79FB13D4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1.040.000,00 kn </w:t>
            </w:r>
          </w:p>
        </w:tc>
        <w:tc>
          <w:tcPr>
            <w:tcW w:w="1559" w:type="dxa"/>
          </w:tcPr>
          <w:p w14:paraId="2AB108A0" w14:textId="30349764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1.040.000,00 kn </w:t>
            </w:r>
          </w:p>
        </w:tc>
        <w:tc>
          <w:tcPr>
            <w:tcW w:w="1417" w:type="dxa"/>
          </w:tcPr>
          <w:p w14:paraId="7D18CDD8" w14:textId="6CA0960A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1.040.000,00 kn </w:t>
            </w:r>
          </w:p>
        </w:tc>
        <w:tc>
          <w:tcPr>
            <w:tcW w:w="1221" w:type="dxa"/>
          </w:tcPr>
          <w:p w14:paraId="021788F4" w14:textId="76649AD7" w:rsidR="00346D1B" w:rsidRPr="00865A34" w:rsidRDefault="00346D1B" w:rsidP="004C7B27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Program 6000</w:t>
            </w:r>
            <w:r w:rsidR="004C7B27">
              <w:rPr>
                <w:rFonts w:ascii="Arial Narrow" w:hAnsi="Arial Narrow" w:cstheme="minorHAnsi"/>
                <w:sz w:val="18"/>
              </w:rPr>
              <w:t xml:space="preserve">, </w:t>
            </w:r>
            <w:r w:rsidRPr="00865A34">
              <w:rPr>
                <w:rFonts w:ascii="Arial Narrow" w:hAnsi="Arial Narrow" w:cstheme="minorHAnsi"/>
                <w:sz w:val="18"/>
              </w:rPr>
              <w:t>7000</w:t>
            </w:r>
            <w:r w:rsidR="004C7B27">
              <w:rPr>
                <w:rFonts w:ascii="Arial Narrow" w:hAnsi="Arial Narrow" w:cstheme="minorHAnsi"/>
                <w:sz w:val="18"/>
              </w:rPr>
              <w:t xml:space="preserve">, </w:t>
            </w:r>
            <w:r w:rsidRPr="00865A34">
              <w:rPr>
                <w:rFonts w:ascii="Arial Narrow" w:hAnsi="Arial Narrow" w:cstheme="minorHAnsi"/>
                <w:sz w:val="18"/>
              </w:rPr>
              <w:t>7100</w:t>
            </w:r>
            <w:r w:rsidR="004C7B27">
              <w:rPr>
                <w:rFonts w:ascii="Arial Narrow" w:hAnsi="Arial Narrow" w:cstheme="minorHAnsi"/>
                <w:sz w:val="18"/>
              </w:rPr>
              <w:t xml:space="preserve">, </w:t>
            </w:r>
            <w:r w:rsidRPr="00865A34">
              <w:rPr>
                <w:rFonts w:ascii="Arial Narrow" w:hAnsi="Arial Narrow" w:cstheme="minorHAnsi"/>
                <w:sz w:val="18"/>
              </w:rPr>
              <w:t>5001</w:t>
            </w:r>
          </w:p>
        </w:tc>
      </w:tr>
      <w:tr w:rsidR="00141C07" w:rsidRPr="00865A34" w14:paraId="77BE4210" w14:textId="77777777" w:rsidTr="00C5234C">
        <w:tc>
          <w:tcPr>
            <w:tcW w:w="505" w:type="dxa"/>
            <w:hideMark/>
          </w:tcPr>
          <w:p w14:paraId="5FECF5D2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11.</w:t>
            </w:r>
          </w:p>
        </w:tc>
        <w:tc>
          <w:tcPr>
            <w:tcW w:w="2127" w:type="dxa"/>
            <w:hideMark/>
          </w:tcPr>
          <w:p w14:paraId="209F5E85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Daljnji razvoj komunalne, prometne i društvene infrastrukture</w:t>
            </w:r>
          </w:p>
        </w:tc>
        <w:tc>
          <w:tcPr>
            <w:tcW w:w="1559" w:type="dxa"/>
          </w:tcPr>
          <w:p w14:paraId="1CF9D701" w14:textId="0D74067B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b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 xml:space="preserve">314.070.000,00 kn </w:t>
            </w:r>
          </w:p>
        </w:tc>
        <w:tc>
          <w:tcPr>
            <w:tcW w:w="1418" w:type="dxa"/>
          </w:tcPr>
          <w:p w14:paraId="4CA8A0EA" w14:textId="67A8FF1B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1.210.000,00 kn </w:t>
            </w:r>
          </w:p>
        </w:tc>
        <w:tc>
          <w:tcPr>
            <w:tcW w:w="1417" w:type="dxa"/>
          </w:tcPr>
          <w:p w14:paraId="3C23BDEA" w14:textId="594FAA37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45.810.000,00 kn </w:t>
            </w:r>
          </w:p>
        </w:tc>
        <w:tc>
          <w:tcPr>
            <w:tcW w:w="1560" w:type="dxa"/>
          </w:tcPr>
          <w:p w14:paraId="59234482" w14:textId="6041E009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71.210.000,00 kn </w:t>
            </w:r>
          </w:p>
        </w:tc>
        <w:tc>
          <w:tcPr>
            <w:tcW w:w="1417" w:type="dxa"/>
          </w:tcPr>
          <w:p w14:paraId="1C1640FA" w14:textId="5A3CB43A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121.210.000,00 kn </w:t>
            </w:r>
          </w:p>
        </w:tc>
        <w:tc>
          <w:tcPr>
            <w:tcW w:w="1418" w:type="dxa"/>
          </w:tcPr>
          <w:p w14:paraId="75FB6284" w14:textId="65DAF1AE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72.210.000,00 kn </w:t>
            </w:r>
          </w:p>
        </w:tc>
        <w:tc>
          <w:tcPr>
            <w:tcW w:w="1559" w:type="dxa"/>
          </w:tcPr>
          <w:p w14:paraId="1ABE1317" w14:textId="1B768D89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1.210.000,00 kn </w:t>
            </w:r>
          </w:p>
        </w:tc>
        <w:tc>
          <w:tcPr>
            <w:tcW w:w="1417" w:type="dxa"/>
          </w:tcPr>
          <w:p w14:paraId="2E0F19C6" w14:textId="2E2074C5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1.210.000,00 kn </w:t>
            </w:r>
          </w:p>
        </w:tc>
        <w:tc>
          <w:tcPr>
            <w:tcW w:w="1221" w:type="dxa"/>
          </w:tcPr>
          <w:p w14:paraId="37BA0E2A" w14:textId="7D2604F3" w:rsidR="00141C07" w:rsidRPr="00865A34" w:rsidRDefault="00346D1B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Program 5000</w:t>
            </w:r>
          </w:p>
        </w:tc>
      </w:tr>
      <w:tr w:rsidR="00141C07" w:rsidRPr="00865A34" w14:paraId="18FC1E96" w14:textId="77777777" w:rsidTr="00EA7E45">
        <w:trPr>
          <w:trHeight w:val="409"/>
        </w:trPr>
        <w:tc>
          <w:tcPr>
            <w:tcW w:w="505" w:type="dxa"/>
            <w:hideMark/>
          </w:tcPr>
          <w:p w14:paraId="0AD43B18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12.</w:t>
            </w:r>
          </w:p>
        </w:tc>
        <w:tc>
          <w:tcPr>
            <w:tcW w:w="2127" w:type="dxa"/>
            <w:hideMark/>
          </w:tcPr>
          <w:p w14:paraId="0AEBD101" w14:textId="00742A14" w:rsidR="00141C07" w:rsidRPr="00865A34" w:rsidRDefault="00141C07" w:rsidP="00C5234C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 xml:space="preserve">Jačanje upravljanja razvojem  </w:t>
            </w:r>
          </w:p>
        </w:tc>
        <w:tc>
          <w:tcPr>
            <w:tcW w:w="1559" w:type="dxa"/>
          </w:tcPr>
          <w:p w14:paraId="13BDB935" w14:textId="3729600C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b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 xml:space="preserve">417.838.311,67 kn </w:t>
            </w:r>
          </w:p>
        </w:tc>
        <w:tc>
          <w:tcPr>
            <w:tcW w:w="1418" w:type="dxa"/>
          </w:tcPr>
          <w:p w14:paraId="298039DB" w14:textId="2E2C85A8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58.948.311,67 kn </w:t>
            </w:r>
          </w:p>
        </w:tc>
        <w:tc>
          <w:tcPr>
            <w:tcW w:w="1417" w:type="dxa"/>
          </w:tcPr>
          <w:p w14:paraId="3520868F" w14:textId="7D103A92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58.315.000,00 kn </w:t>
            </w:r>
          </w:p>
        </w:tc>
        <w:tc>
          <w:tcPr>
            <w:tcW w:w="1560" w:type="dxa"/>
          </w:tcPr>
          <w:p w14:paraId="06BD86EB" w14:textId="72A3EA3F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58.315.000,00 kn </w:t>
            </w:r>
          </w:p>
        </w:tc>
        <w:tc>
          <w:tcPr>
            <w:tcW w:w="1417" w:type="dxa"/>
          </w:tcPr>
          <w:p w14:paraId="2B92FCC5" w14:textId="155E72CB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62.815.000,00 kn </w:t>
            </w:r>
          </w:p>
        </w:tc>
        <w:tc>
          <w:tcPr>
            <w:tcW w:w="1418" w:type="dxa"/>
          </w:tcPr>
          <w:p w14:paraId="2A573670" w14:textId="63668B9E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62.815.000,00 kn </w:t>
            </w:r>
          </w:p>
        </w:tc>
        <w:tc>
          <w:tcPr>
            <w:tcW w:w="1559" w:type="dxa"/>
          </w:tcPr>
          <w:p w14:paraId="5A35C639" w14:textId="6C50C410" w:rsidR="00141C07" w:rsidRPr="00865A34" w:rsidRDefault="00141C07" w:rsidP="00C5234C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>58.315.000,00</w:t>
            </w:r>
            <w:r w:rsidR="00C5234C">
              <w:rPr>
                <w:rFonts w:ascii="Arial Narrow" w:eastAsia="Times New Roman" w:hAnsi="Arial Narrow" w:cstheme="minorHAnsi"/>
                <w:sz w:val="18"/>
                <w:lang w:eastAsia="hr-HR"/>
              </w:rPr>
              <w:t>k</w:t>
            </w: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n </w:t>
            </w:r>
          </w:p>
        </w:tc>
        <w:tc>
          <w:tcPr>
            <w:tcW w:w="1417" w:type="dxa"/>
          </w:tcPr>
          <w:p w14:paraId="3AF5DF6D" w14:textId="5BF99C21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58.315.000,00 kn </w:t>
            </w:r>
          </w:p>
        </w:tc>
        <w:tc>
          <w:tcPr>
            <w:tcW w:w="1221" w:type="dxa"/>
          </w:tcPr>
          <w:p w14:paraId="7076CF50" w14:textId="79F7DF99" w:rsidR="00141C07" w:rsidRPr="00865A34" w:rsidRDefault="00346D1B" w:rsidP="004C7B27">
            <w:pPr>
              <w:spacing w:after="0"/>
              <w:rPr>
                <w:rFonts w:ascii="Arial Narrow" w:hAnsi="Arial Narrow"/>
                <w:sz w:val="18"/>
              </w:rPr>
            </w:pPr>
            <w:r w:rsidRPr="00865A34">
              <w:rPr>
                <w:rFonts w:ascii="Arial Narrow" w:hAnsi="Arial Narrow"/>
                <w:sz w:val="18"/>
              </w:rPr>
              <w:t>Program 1000</w:t>
            </w:r>
            <w:r w:rsidR="004C7B27">
              <w:rPr>
                <w:rFonts w:ascii="Arial Narrow" w:hAnsi="Arial Narrow"/>
                <w:sz w:val="18"/>
              </w:rPr>
              <w:t>,</w:t>
            </w:r>
            <w:r w:rsidRPr="00865A34">
              <w:rPr>
                <w:rFonts w:ascii="Arial Narrow" w:hAnsi="Arial Narrow"/>
                <w:sz w:val="18"/>
              </w:rPr>
              <w:t>1010</w:t>
            </w:r>
            <w:r w:rsidR="004C7B27">
              <w:rPr>
                <w:rFonts w:ascii="Arial Narrow" w:hAnsi="Arial Narrow"/>
                <w:sz w:val="18"/>
              </w:rPr>
              <w:t xml:space="preserve">, </w:t>
            </w:r>
            <w:r w:rsidRPr="00865A34">
              <w:rPr>
                <w:rFonts w:ascii="Arial Narrow" w:hAnsi="Arial Narrow"/>
                <w:sz w:val="18"/>
              </w:rPr>
              <w:t>2000</w:t>
            </w:r>
            <w:r w:rsidR="004C7B27">
              <w:rPr>
                <w:rFonts w:ascii="Arial Narrow" w:hAnsi="Arial Narrow"/>
                <w:sz w:val="18"/>
              </w:rPr>
              <w:t xml:space="preserve">, </w:t>
            </w:r>
            <w:r w:rsidRPr="00865A34">
              <w:rPr>
                <w:rFonts w:ascii="Arial Narrow" w:hAnsi="Arial Narrow"/>
                <w:sz w:val="18"/>
              </w:rPr>
              <w:t>3001</w:t>
            </w:r>
            <w:r w:rsidR="004C7B27">
              <w:rPr>
                <w:rFonts w:ascii="Arial Narrow" w:hAnsi="Arial Narrow"/>
                <w:sz w:val="18"/>
              </w:rPr>
              <w:t xml:space="preserve">, </w:t>
            </w:r>
            <w:r w:rsidRPr="00865A34">
              <w:rPr>
                <w:rFonts w:ascii="Arial Narrow" w:hAnsi="Arial Narrow"/>
                <w:sz w:val="18"/>
              </w:rPr>
              <w:t>9000</w:t>
            </w:r>
            <w:r w:rsidR="004C7B27">
              <w:rPr>
                <w:rFonts w:ascii="Arial Narrow" w:hAnsi="Arial Narrow"/>
                <w:sz w:val="18"/>
              </w:rPr>
              <w:t xml:space="preserve">, </w:t>
            </w:r>
            <w:r w:rsidRPr="00865A34">
              <w:rPr>
                <w:rFonts w:ascii="Arial Narrow" w:hAnsi="Arial Narrow"/>
                <w:sz w:val="18"/>
              </w:rPr>
              <w:t>6100</w:t>
            </w:r>
            <w:r w:rsidR="004C7B27">
              <w:rPr>
                <w:rFonts w:ascii="Arial Narrow" w:hAnsi="Arial Narrow"/>
                <w:sz w:val="18"/>
              </w:rPr>
              <w:t xml:space="preserve">, </w:t>
            </w:r>
            <w:r w:rsidRPr="00865A34">
              <w:rPr>
                <w:rFonts w:ascii="Arial Narrow" w:hAnsi="Arial Narrow"/>
                <w:sz w:val="18"/>
              </w:rPr>
              <w:t>7100</w:t>
            </w:r>
          </w:p>
        </w:tc>
      </w:tr>
      <w:tr w:rsidR="00141C07" w:rsidRPr="00865A34" w14:paraId="5A04E0BD" w14:textId="77777777" w:rsidTr="00C5234C">
        <w:tc>
          <w:tcPr>
            <w:tcW w:w="505" w:type="dxa"/>
            <w:hideMark/>
          </w:tcPr>
          <w:p w14:paraId="0B1E3E38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13.</w:t>
            </w:r>
          </w:p>
        </w:tc>
        <w:tc>
          <w:tcPr>
            <w:tcW w:w="2127" w:type="dxa"/>
            <w:hideMark/>
          </w:tcPr>
          <w:p w14:paraId="2245A9A9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Razvoj potpomognutih područja + ITU</w:t>
            </w:r>
          </w:p>
        </w:tc>
        <w:tc>
          <w:tcPr>
            <w:tcW w:w="1559" w:type="dxa"/>
          </w:tcPr>
          <w:p w14:paraId="658A7E87" w14:textId="49566B26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b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 xml:space="preserve">18.880.000,00 kn </w:t>
            </w:r>
          </w:p>
        </w:tc>
        <w:tc>
          <w:tcPr>
            <w:tcW w:w="1418" w:type="dxa"/>
          </w:tcPr>
          <w:p w14:paraId="062519C5" w14:textId="11E77848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2.680.000,00 kn </w:t>
            </w:r>
          </w:p>
        </w:tc>
        <w:tc>
          <w:tcPr>
            <w:tcW w:w="1417" w:type="dxa"/>
          </w:tcPr>
          <w:p w14:paraId="3DCBB8A5" w14:textId="77FE10E9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2.700.000,00 kn </w:t>
            </w:r>
          </w:p>
        </w:tc>
        <w:tc>
          <w:tcPr>
            <w:tcW w:w="1560" w:type="dxa"/>
          </w:tcPr>
          <w:p w14:paraId="47D15CBB" w14:textId="68DBA1AB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2.700.000,00 kn </w:t>
            </w:r>
          </w:p>
        </w:tc>
        <w:tc>
          <w:tcPr>
            <w:tcW w:w="1417" w:type="dxa"/>
          </w:tcPr>
          <w:p w14:paraId="01DDE8A8" w14:textId="4CD61408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2.700.000,00 kn </w:t>
            </w:r>
          </w:p>
        </w:tc>
        <w:tc>
          <w:tcPr>
            <w:tcW w:w="1418" w:type="dxa"/>
          </w:tcPr>
          <w:p w14:paraId="42125D36" w14:textId="4BCB5ADC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2.700.000,00 kn </w:t>
            </w:r>
          </w:p>
        </w:tc>
        <w:tc>
          <w:tcPr>
            <w:tcW w:w="1559" w:type="dxa"/>
          </w:tcPr>
          <w:p w14:paraId="64950372" w14:textId="53698F99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2.700.000,00 kn </w:t>
            </w:r>
          </w:p>
        </w:tc>
        <w:tc>
          <w:tcPr>
            <w:tcW w:w="1417" w:type="dxa"/>
          </w:tcPr>
          <w:p w14:paraId="7B5DE47C" w14:textId="13B6CD15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2.700.000,00 kn </w:t>
            </w:r>
          </w:p>
        </w:tc>
        <w:tc>
          <w:tcPr>
            <w:tcW w:w="1221" w:type="dxa"/>
          </w:tcPr>
          <w:p w14:paraId="0D24DB7C" w14:textId="0185DD5D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>Program 5001</w:t>
            </w:r>
          </w:p>
        </w:tc>
      </w:tr>
      <w:tr w:rsidR="00141C07" w:rsidRPr="00865A34" w14:paraId="30A5E7AA" w14:textId="77777777" w:rsidTr="00C5234C">
        <w:tc>
          <w:tcPr>
            <w:tcW w:w="505" w:type="dxa"/>
            <w:hideMark/>
          </w:tcPr>
          <w:p w14:paraId="39650AAA" w14:textId="77777777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>14.</w:t>
            </w:r>
          </w:p>
        </w:tc>
        <w:tc>
          <w:tcPr>
            <w:tcW w:w="2127" w:type="dxa"/>
            <w:hideMark/>
          </w:tcPr>
          <w:p w14:paraId="7456FE96" w14:textId="6F91B00D" w:rsidR="00141C07" w:rsidRPr="00865A34" w:rsidRDefault="00141C07" w:rsidP="00C5234C">
            <w:pPr>
              <w:spacing w:after="0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hAnsi="Arial Narrow" w:cstheme="minorHAnsi"/>
                <w:sz w:val="18"/>
              </w:rPr>
              <w:t xml:space="preserve">Jačanje spremnosti na okolišne i sigurnosne izazove </w:t>
            </w:r>
          </w:p>
        </w:tc>
        <w:tc>
          <w:tcPr>
            <w:tcW w:w="1559" w:type="dxa"/>
          </w:tcPr>
          <w:p w14:paraId="4871B0BC" w14:textId="135972E4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b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b/>
                <w:sz w:val="18"/>
                <w:lang w:eastAsia="hr-HR"/>
              </w:rPr>
              <w:t xml:space="preserve">17.176.500,00 kn </w:t>
            </w:r>
          </w:p>
        </w:tc>
        <w:tc>
          <w:tcPr>
            <w:tcW w:w="1418" w:type="dxa"/>
          </w:tcPr>
          <w:p w14:paraId="1A1D9CEE" w14:textId="66E652B4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2.416.500,00 kn </w:t>
            </w:r>
          </w:p>
        </w:tc>
        <w:tc>
          <w:tcPr>
            <w:tcW w:w="1417" w:type="dxa"/>
          </w:tcPr>
          <w:p w14:paraId="3FC4E573" w14:textId="2CFFA673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2.460.000,00 kn </w:t>
            </w:r>
          </w:p>
        </w:tc>
        <w:tc>
          <w:tcPr>
            <w:tcW w:w="1560" w:type="dxa"/>
          </w:tcPr>
          <w:p w14:paraId="214B4989" w14:textId="66A14232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2.460.000,00 kn </w:t>
            </w:r>
          </w:p>
        </w:tc>
        <w:tc>
          <w:tcPr>
            <w:tcW w:w="1417" w:type="dxa"/>
          </w:tcPr>
          <w:p w14:paraId="7994C12F" w14:textId="53756FC0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2.460.000,00 kn </w:t>
            </w:r>
          </w:p>
        </w:tc>
        <w:tc>
          <w:tcPr>
            <w:tcW w:w="1418" w:type="dxa"/>
          </w:tcPr>
          <w:p w14:paraId="61265A12" w14:textId="5B4CEEB1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2.460.000,00 kn </w:t>
            </w:r>
          </w:p>
        </w:tc>
        <w:tc>
          <w:tcPr>
            <w:tcW w:w="1559" w:type="dxa"/>
          </w:tcPr>
          <w:p w14:paraId="22D9F86E" w14:textId="316DE341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2.460.000,00 kn </w:t>
            </w:r>
          </w:p>
        </w:tc>
        <w:tc>
          <w:tcPr>
            <w:tcW w:w="1417" w:type="dxa"/>
          </w:tcPr>
          <w:p w14:paraId="70466795" w14:textId="5FB3FE1E" w:rsidR="00141C07" w:rsidRPr="00865A34" w:rsidRDefault="00141C07" w:rsidP="00633C04">
            <w:pPr>
              <w:spacing w:after="0"/>
              <w:jc w:val="right"/>
              <w:rPr>
                <w:rFonts w:ascii="Arial Narrow" w:hAnsi="Arial Narrow" w:cstheme="minorHAnsi"/>
                <w:sz w:val="18"/>
              </w:rPr>
            </w:pPr>
            <w:r w:rsidRPr="00865A34">
              <w:rPr>
                <w:rFonts w:ascii="Arial Narrow" w:eastAsia="Times New Roman" w:hAnsi="Arial Narrow" w:cstheme="minorHAnsi"/>
                <w:sz w:val="18"/>
                <w:lang w:eastAsia="hr-HR"/>
              </w:rPr>
              <w:t xml:space="preserve">2.460.000,00 kn </w:t>
            </w:r>
          </w:p>
        </w:tc>
        <w:tc>
          <w:tcPr>
            <w:tcW w:w="1221" w:type="dxa"/>
          </w:tcPr>
          <w:p w14:paraId="4C95FA08" w14:textId="53305DA8" w:rsidR="00141C07" w:rsidRPr="00865A34" w:rsidRDefault="00141C07" w:rsidP="00633C04">
            <w:pPr>
              <w:spacing w:after="0"/>
              <w:rPr>
                <w:rFonts w:ascii="Arial Narrow" w:hAnsi="Arial Narrow" w:cstheme="minorHAnsi"/>
                <w:sz w:val="18"/>
              </w:rPr>
            </w:pPr>
          </w:p>
        </w:tc>
      </w:tr>
      <w:bookmarkEnd w:id="29"/>
    </w:tbl>
    <w:p w14:paraId="05DA91B9" w14:textId="77777777" w:rsidR="002E2849" w:rsidRDefault="002E2849" w:rsidP="00475C3C">
      <w:pPr>
        <w:rPr>
          <w:rFonts w:cstheme="minorHAnsi"/>
        </w:rPr>
        <w:sectPr w:rsidR="002E2849" w:rsidSect="002E284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3446887" w14:textId="1652E9A8" w:rsidR="00E3425C" w:rsidRPr="0091228A" w:rsidRDefault="00E3425C" w:rsidP="00475C3C">
      <w:pPr>
        <w:rPr>
          <w:rFonts w:cstheme="minorHAnsi"/>
        </w:rPr>
      </w:pPr>
    </w:p>
    <w:p w14:paraId="576FCD5D" w14:textId="7524C3EE" w:rsidR="00475C3C" w:rsidRPr="001166C1" w:rsidRDefault="00D00594" w:rsidP="00F6340E">
      <w:pPr>
        <w:pStyle w:val="Naslov1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30" w:name="_Toc84938287"/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OKVIR ZA PRAĆENJE I VREDNOVANJE PLANA RAZVOJA BRODSKO</w:t>
      </w:r>
      <w:r w:rsidR="00E91BF4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-</w:t>
      </w:r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POSAVSKE ŽUPANIJE</w:t>
      </w:r>
      <w:bookmarkEnd w:id="30"/>
      <w:r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5491D2BA" w14:textId="77777777" w:rsidR="00C36881" w:rsidRPr="00C36881" w:rsidRDefault="00C36881" w:rsidP="00C36881">
      <w:pPr>
        <w:jc w:val="both"/>
      </w:pPr>
      <w:r w:rsidRPr="007973DA">
        <w:rPr>
          <w:u w:val="single"/>
        </w:rPr>
        <w:t>Pravilnikom o rokovima i postupcima praćenja i izvještavanja o provedbi akata strateškog planiranja od nacionalnog značaja i od značaja za jedinice lokalne i područne (regionalne) samouprave</w:t>
      </w:r>
      <w:r w:rsidRPr="007973DA">
        <w:t xml:space="preserve"> propisani su postupci i rokovi  praćenja i izvještavanja o provedbi gore navedenih akata</w:t>
      </w:r>
      <w:r w:rsidRPr="007973DA">
        <w:rPr>
          <w:vertAlign w:val="superscript"/>
        </w:rPr>
        <w:footnoteReference w:id="1"/>
      </w:r>
      <w:r w:rsidRPr="007973DA">
        <w:t>. Praćenje je</w:t>
      </w:r>
      <w:r w:rsidRPr="00C36881">
        <w:t xml:space="preserve"> prvi korak, neophodan za vrednovanje provedbe plana te ostvarenih rezultata. Obuhvaća proces sustavnog prikupljanja, analize i usporedbe pokazatelja kojima se prati uspješnost provedbe posebnih ciljeva i mjera Plana razvoja. Temeljem toga dobivaju se relevantne informacije kako za donositelje odluka vezane uz prioritete javnih politika, tako i za širu javnost, čime se poštuje načelo transparentnosti i odgovornosti za korištenje javnih sredstava.</w:t>
      </w:r>
    </w:p>
    <w:p w14:paraId="794E07C1" w14:textId="77777777" w:rsidR="00C36881" w:rsidRPr="00C36881" w:rsidRDefault="00C36881" w:rsidP="00C36881">
      <w:pPr>
        <w:jc w:val="both"/>
      </w:pPr>
      <w:r w:rsidRPr="00C36881">
        <w:t>Za praćenje provedbe Plana razvoja zadužen je Regionalni koordinator te se ono provodi na godišnjoj razini, a izvješće o praćenju provedbe se podnosi Koordinacijskom tijelu 1. ožujka tekuće godine za prethodnu godinu.</w:t>
      </w:r>
    </w:p>
    <w:p w14:paraId="418C5D51" w14:textId="791FC130" w:rsidR="00C36881" w:rsidRPr="00C36881" w:rsidRDefault="00C36881" w:rsidP="00C36881">
      <w:pPr>
        <w:jc w:val="both"/>
      </w:pPr>
      <w:r w:rsidRPr="00C36881">
        <w:t>Za</w:t>
      </w:r>
      <w:r w:rsidR="00336CD2">
        <w:t xml:space="preserve"> proces vrednovanja ključan je </w:t>
      </w:r>
      <w:r w:rsidRPr="007973DA">
        <w:rPr>
          <w:u w:val="single"/>
        </w:rPr>
        <w:t>Pravilnik o provedbi postupka vrednovanja</w:t>
      </w:r>
      <w:r w:rsidRPr="00C36881">
        <w:rPr>
          <w:vertAlign w:val="superscript"/>
        </w:rPr>
        <w:footnoteReference w:id="2"/>
      </w:r>
      <w:r w:rsidRPr="00C36881">
        <w:rPr>
          <w:b/>
        </w:rPr>
        <w:t xml:space="preserve"> </w:t>
      </w:r>
      <w:r w:rsidRPr="00C36881">
        <w:t xml:space="preserve">(dalje u tekstu Pravilnik). </w:t>
      </w:r>
    </w:p>
    <w:p w14:paraId="40E4BCF9" w14:textId="77777777" w:rsidR="00C36881" w:rsidRPr="00C36881" w:rsidRDefault="00C36881" w:rsidP="00C36881">
      <w:pPr>
        <w:jc w:val="both"/>
      </w:pPr>
      <w:r w:rsidRPr="00C36881">
        <w:t>Spomenutim su Pravilnikom,  među ostalim, naglašena je važnost neovisne usporedbe i ocjene očekivanih i ostvarenih rezultata, ishoda i učinaka provedbe akata strateškog planiranja. Vrednovanje uvijek provode stručnjaci koji su funkcionalno neovisni o tijelima nadležnim za izradu i provedbu akata strateškog planiranja. Rezultati vrednovanja koriste se za daljnje usklađivanje i optimizaciju procesa strateškog planiranja i definiranja javnih politika. Stoga je ključna svrha svih vrsta vrednovanja, gledajući u cjelini, unaprijediti kvalitetu izrađenog Plana te osigurati njegovu učinkovitu i djelotvornu provedbu te održive relevantne rezultate.</w:t>
      </w:r>
    </w:p>
    <w:p w14:paraId="2232806A" w14:textId="77777777" w:rsidR="00C36881" w:rsidRPr="00C36881" w:rsidRDefault="00C36881" w:rsidP="00C36881">
      <w:pPr>
        <w:jc w:val="both"/>
      </w:pPr>
      <w:r w:rsidRPr="00C36881">
        <w:t xml:space="preserve">Župan, kao čelnik tijela nadležnog za izradu županijskog plana razvoja imenuje </w:t>
      </w:r>
      <w:r w:rsidRPr="007973DA">
        <w:rPr>
          <w:u w:val="single"/>
        </w:rPr>
        <w:t>Odbor za vrednovanje,</w:t>
      </w:r>
      <w:r w:rsidRPr="00C36881">
        <w:rPr>
          <w:b/>
        </w:rPr>
        <w:t xml:space="preserve"> </w:t>
      </w:r>
      <w:r w:rsidRPr="00C36881">
        <w:t xml:space="preserve">a regionalni koordinator je zadužen za angažiranje neovisnog </w:t>
      </w:r>
      <w:r w:rsidRPr="007973DA">
        <w:rPr>
          <w:u w:val="single"/>
        </w:rPr>
        <w:t>tima za vrednovanje.</w:t>
      </w:r>
      <w:r w:rsidRPr="00C36881">
        <w:rPr>
          <w:b/>
        </w:rPr>
        <w:t xml:space="preserve"> </w:t>
      </w:r>
      <w:r w:rsidRPr="00C36881">
        <w:t>Odbor za vrednovanje je ključno tijelo koje odobrava metodologiju vrednovanja te završno izvješće o provedenom vrednovanju.</w:t>
      </w:r>
    </w:p>
    <w:p w14:paraId="067521D3" w14:textId="77777777" w:rsidR="00C36881" w:rsidRPr="00C36881" w:rsidRDefault="00C36881" w:rsidP="00C36881">
      <w:pPr>
        <w:jc w:val="both"/>
      </w:pPr>
      <w:r w:rsidRPr="00C36881">
        <w:t xml:space="preserve">Sukladno navedenom Pravilniku, Brodsko-posavska županija 19. travnja 2021. godine donosi </w:t>
      </w:r>
      <w:r w:rsidRPr="007973DA">
        <w:rPr>
          <w:u w:val="single"/>
        </w:rPr>
        <w:t>Odluku o početku postupka vrednovanja Plana razvoja Brodsko-posavske županije za razdoblje 2021.-2027.</w:t>
      </w:r>
      <w:r w:rsidRPr="00C36881">
        <w:t xml:space="preserve"> (klasa: 032-01/19-01/429, urbroj: 2178/1-09-21-10) i određuje da će se provoditi vrednovanje </w:t>
      </w:r>
      <w:r w:rsidRPr="007973DA">
        <w:rPr>
          <w:u w:val="single"/>
        </w:rPr>
        <w:t>tijekom izrade</w:t>
      </w:r>
      <w:r w:rsidRPr="00C36881">
        <w:t xml:space="preserve"> Plana (prethodno vrednovanje), </w:t>
      </w:r>
      <w:r w:rsidRPr="007973DA">
        <w:rPr>
          <w:u w:val="single"/>
        </w:rPr>
        <w:t>tijekom provedbe</w:t>
      </w:r>
      <w:r w:rsidRPr="00C36881">
        <w:rPr>
          <w:b/>
        </w:rPr>
        <w:t xml:space="preserve"> </w:t>
      </w:r>
      <w:r w:rsidRPr="00C36881">
        <w:t xml:space="preserve">(srednjoročno vrednovanje) i </w:t>
      </w:r>
      <w:r w:rsidRPr="007973DA">
        <w:rPr>
          <w:u w:val="single"/>
        </w:rPr>
        <w:t xml:space="preserve">nakon provedbe </w:t>
      </w:r>
      <w:r w:rsidRPr="00C36881">
        <w:t xml:space="preserve">(naknadno vrednovanje). Nastavno na ovu odluku, 21. travnja 2021. godine donesena je i </w:t>
      </w:r>
      <w:r w:rsidRPr="007973DA">
        <w:rPr>
          <w:u w:val="single"/>
        </w:rPr>
        <w:t>Odluka o imenovanju Odbora za vrednovanje</w:t>
      </w:r>
      <w:r w:rsidRPr="00C36881">
        <w:t xml:space="preserve"> (klasa: 023-01/19-01/426, urbroj: 2178/1-09-21-11) koja uključuje imenovanje predsjednika, zamjenika predsjednika i članove Odbora. Sukladno Pravilniku, jedan od članova odbora je i predstavnik Ministarstva regionalnoga razvoja i fondova Europske unije. Odbor za vrednovanje osigurava djelovanje sukladno važećim propisima, sudjeluje u unaprjeđenju kvalitete vrednovanja Plan razvoja te omogućuje nesmetan pristup svim informacijama potrebnima za kvalitetno provođenje vrednovanja, a sve sukladno zakonskom okviru te pod-zakonskim aktima. Odbor za vrednovanje se u svom radu „</w:t>
      </w:r>
      <w:r w:rsidRPr="00C36881">
        <w:rPr>
          <w:i/>
        </w:rPr>
        <w:t>rukovodi načelima točnosti, cjelovitosti, učinkovitosti, djelotvornosti, odgovornosti, usmjerenosti na rezultate, održivosti, partnerstva i transparentnosti</w:t>
      </w:r>
      <w:r w:rsidRPr="00C36881">
        <w:t xml:space="preserve">“ (sukladno </w:t>
      </w:r>
      <w:r w:rsidRPr="007973DA">
        <w:rPr>
          <w:u w:val="single"/>
        </w:rPr>
        <w:t>Opisu djelovanja Odbora za vrednovanje Plana razvoj Brodsko posavske županije za razdoblje 2021.-2027.,</w:t>
      </w:r>
      <w:r w:rsidRPr="00C36881">
        <w:t xml:space="preserve"> </w:t>
      </w:r>
      <w:r w:rsidRPr="00C36881">
        <w:lastRenderedPageBreak/>
        <w:t>od 9. lipnja 2021). Odbor za vrednovanje u konačnici odobrava sva izvješća o vrednovanju no ni na koji način ne nameće niti mijenja zaključke ili preporuke odabranog neovisnog tima za vrednovanje.</w:t>
      </w:r>
    </w:p>
    <w:p w14:paraId="569F61C9" w14:textId="77777777" w:rsidR="00C36881" w:rsidRPr="00C36881" w:rsidRDefault="00C36881" w:rsidP="00C36881">
      <w:pPr>
        <w:jc w:val="both"/>
      </w:pPr>
      <w:r w:rsidRPr="00C36881">
        <w:rPr>
          <w:b/>
        </w:rPr>
        <w:t>Plan vrednovanja</w:t>
      </w:r>
      <w:r w:rsidRPr="00C36881">
        <w:t xml:space="preserve"> sastavni je dio postupka vrednovanja. Sadržava indikativni popis vrednovanja koja će se provesti, njihov sadržaj i svrhovitost, vremenski raspored vrednovanja, metode koje će se koristiti za pojedina vrednovanja i podatke koji će se tražiti, dostupnost odnosno način prikupljanja podataka potrebnih za određena vrednovanja te okvirni proračun za provedbu plana vrednovanja. Plan vrednovanja donosi Odbor za vrednovanje i on se objavljuje na internetskoj stranici županije.</w:t>
      </w:r>
    </w:p>
    <w:p w14:paraId="3B773675" w14:textId="77777777" w:rsidR="00C36881" w:rsidRPr="00C36881" w:rsidRDefault="00C36881" w:rsidP="00C36881">
      <w:pPr>
        <w:jc w:val="both"/>
      </w:pPr>
      <w:r w:rsidRPr="00C36881">
        <w:t>Sve navedene vrste vrednovanja moraju poštivati slijedeća načela:</w:t>
      </w:r>
    </w:p>
    <w:p w14:paraId="6771098F" w14:textId="77777777" w:rsidR="00C36881" w:rsidRPr="00C36881" w:rsidRDefault="00C36881" w:rsidP="00C36881">
      <w:pPr>
        <w:jc w:val="both"/>
      </w:pPr>
      <w:r w:rsidRPr="00C36881">
        <w:rPr>
          <w:b/>
        </w:rPr>
        <w:t>Neovisnost</w:t>
      </w:r>
      <w:r w:rsidRPr="00C36881">
        <w:t xml:space="preserve"> – vrednovanje provode stručnjaci koji su funkcionalno neovisni o upravljačkom tijelu, potreba za objektivnim, jasnim i provjerljivim argumentiranjem nalaza i rezultata vrednovanja, čvrstim dokazima i detaljnom analizom.</w:t>
      </w:r>
    </w:p>
    <w:p w14:paraId="768891BB" w14:textId="77777777" w:rsidR="00C36881" w:rsidRPr="00C36881" w:rsidRDefault="00C36881" w:rsidP="00C36881">
      <w:pPr>
        <w:jc w:val="both"/>
      </w:pPr>
      <w:r w:rsidRPr="00C36881">
        <w:rPr>
          <w:b/>
        </w:rPr>
        <w:t>Prilagođen pristup</w:t>
      </w:r>
      <w:r w:rsidRPr="00C36881">
        <w:t xml:space="preserve"> – vrednovanje koristi različite načine prikupljanja podataka odnosno odgovora na pitanja za vrednovanje, a nalaze, zaključke i preporuke temelji na triangulaciji odnosno sintezi svih nalaza.</w:t>
      </w:r>
    </w:p>
    <w:p w14:paraId="704BAA84" w14:textId="77777777" w:rsidR="00C36881" w:rsidRPr="00C36881" w:rsidRDefault="00C36881" w:rsidP="00C36881">
      <w:pPr>
        <w:jc w:val="both"/>
      </w:pPr>
      <w:r w:rsidRPr="00C36881">
        <w:rPr>
          <w:b/>
        </w:rPr>
        <w:t xml:space="preserve">Pravovremenost </w:t>
      </w:r>
      <w:r w:rsidRPr="00C36881">
        <w:t>–planiranje provedbe vrednovanja i dostupnost rezultata vrednovanja koji osiguravaju da donosioci imaju pravovremene informacije na temelju kojih se mogu unaprijediti program.</w:t>
      </w:r>
    </w:p>
    <w:p w14:paraId="21D98643" w14:textId="77777777" w:rsidR="00C36881" w:rsidRPr="00C36881" w:rsidRDefault="00C36881" w:rsidP="00C36881">
      <w:pPr>
        <w:jc w:val="both"/>
      </w:pPr>
      <w:r w:rsidRPr="00C36881">
        <w:rPr>
          <w:b/>
        </w:rPr>
        <w:t>Komunikacija i transparentnost</w:t>
      </w:r>
      <w:r w:rsidRPr="00C36881">
        <w:t xml:space="preserve">  - kontinuirani dijalog između naručitelja i izvršitelja - osiguravanja da rezultati vrednovanja imaju najveću moguću korist za naručitelja; konzultacijski proces s različitim relevantnih dionicima.</w:t>
      </w:r>
    </w:p>
    <w:p w14:paraId="7A2EEBD5" w14:textId="77777777" w:rsidR="00C36881" w:rsidRPr="00C36881" w:rsidRDefault="00C36881" w:rsidP="00C36881">
      <w:pPr>
        <w:jc w:val="both"/>
      </w:pPr>
      <w:r w:rsidRPr="00C36881">
        <w:rPr>
          <w:b/>
        </w:rPr>
        <w:t xml:space="preserve">Vrednovanje tijekom izrade </w:t>
      </w:r>
      <w:r w:rsidRPr="00C36881">
        <w:t>(prethodno vrednovanje) provodi se na participativan i interaktivan način usporedo s izradom Plana razvoja. Dana 9. lipnja 2021. godine Regionalni koordinator Brodsko-posavske županije donosi odluku o osnivanju tima za prethodno vrednovanje. Imenovan je tim vanjskih stručnjaka tvrtke</w:t>
      </w:r>
      <w:r w:rsidRPr="00C36881">
        <w:rPr>
          <w:b/>
        </w:rPr>
        <w:t xml:space="preserve"> Ecorys Hrvatska d.o.o., </w:t>
      </w:r>
      <w:r w:rsidRPr="00C36881">
        <w:t>odabran provedenim postupkom javne nabave.</w:t>
      </w:r>
    </w:p>
    <w:p w14:paraId="751A4DBA" w14:textId="77777777" w:rsidR="00C36881" w:rsidRPr="00C36881" w:rsidRDefault="00C36881" w:rsidP="00C36881">
      <w:pPr>
        <w:jc w:val="both"/>
      </w:pPr>
      <w:r w:rsidRPr="00C36881">
        <w:t>Glavni cilj ovog vrednovanja je poboljšanje kvalitete procesa strateškog planiranja i konačnog nacrta Plana razvoja; nalaženje optimalnog načina korištenja resursa za dostizanje razvojnih ciljeva i omogućavanje kvalitetne osnove za buduće praćenje i vrednovanje Plana razvoja.</w:t>
      </w:r>
    </w:p>
    <w:p w14:paraId="0D24C273" w14:textId="77777777" w:rsidR="00C36881" w:rsidRPr="00C36881" w:rsidRDefault="00C36881" w:rsidP="00C36881">
      <w:pPr>
        <w:jc w:val="both"/>
      </w:pPr>
      <w:r w:rsidRPr="00C36881">
        <w:t>Vrednovanje tijekom izrade prvenstveno je usmjereno na slijedeće:</w:t>
      </w:r>
    </w:p>
    <w:p w14:paraId="56445C37" w14:textId="77777777" w:rsidR="00C36881" w:rsidRPr="00C36881" w:rsidRDefault="00C36881" w:rsidP="00C36881">
      <w:pPr>
        <w:numPr>
          <w:ilvl w:val="0"/>
          <w:numId w:val="16"/>
        </w:numPr>
        <w:spacing w:after="0"/>
        <w:contextualSpacing/>
        <w:jc w:val="both"/>
      </w:pPr>
      <w:r w:rsidRPr="00C36881">
        <w:rPr>
          <w:b/>
        </w:rPr>
        <w:t>Važnost/relevantnost</w:t>
      </w:r>
      <w:r w:rsidRPr="00C36881">
        <w:t xml:space="preserve"> –koliko su ciljevi i mjere u Planu razvoja opravdani i relevantni u odnosu na stvarne razvojne probleme i potencijale županije te nudi li Plan razvoja optimalan način rješavanja razvojnih problema;</w:t>
      </w:r>
    </w:p>
    <w:p w14:paraId="17928ACA" w14:textId="77777777" w:rsidR="00C36881" w:rsidRPr="00C36881" w:rsidRDefault="00C36881" w:rsidP="00C36881">
      <w:pPr>
        <w:numPr>
          <w:ilvl w:val="0"/>
          <w:numId w:val="16"/>
        </w:numPr>
        <w:spacing w:after="0"/>
        <w:contextualSpacing/>
        <w:jc w:val="both"/>
      </w:pPr>
      <w:r w:rsidRPr="00C36881">
        <w:rPr>
          <w:b/>
        </w:rPr>
        <w:t>Djelotvornost/efektivnost</w:t>
      </w:r>
      <w:r w:rsidRPr="00C36881">
        <w:t xml:space="preserve"> – kolika je vjerojatnost da će se postavljeni posebni ciljevi  te pripadajući pokazatelji ishoda ostvariti putem planiranih mjera s pripadajućim pokazateljima rezultata i raspoloživih resursa te provedbenih kapaciteta (uključujući i analizu rizika);</w:t>
      </w:r>
    </w:p>
    <w:p w14:paraId="6BE334EE" w14:textId="77777777" w:rsidR="00C36881" w:rsidRPr="00C36881" w:rsidRDefault="00C36881" w:rsidP="00C36881">
      <w:pPr>
        <w:numPr>
          <w:ilvl w:val="0"/>
          <w:numId w:val="16"/>
        </w:numPr>
        <w:spacing w:after="0"/>
        <w:contextualSpacing/>
        <w:jc w:val="both"/>
      </w:pPr>
      <w:r w:rsidRPr="00C36881">
        <w:rPr>
          <w:b/>
        </w:rPr>
        <w:t>Unutarnja usklađenost/konzistentnost</w:t>
      </w:r>
      <w:r w:rsidRPr="00C36881">
        <w:t xml:space="preserve"> – provjera intervencijske logike odnosno provjera jasnoće, logičkog slijeda, usklađenosti i potencijale sinergije ciljeva, prioriteta i mjera (uključuje i provjeru </w:t>
      </w:r>
      <w:r w:rsidRPr="00C36881">
        <w:rPr>
          <w:b/>
        </w:rPr>
        <w:t>učinkovitosti i komplementarnosti</w:t>
      </w:r>
      <w:r w:rsidRPr="00C36881">
        <w:t>);</w:t>
      </w:r>
    </w:p>
    <w:p w14:paraId="06728E98" w14:textId="77777777" w:rsidR="00C36881" w:rsidRPr="00C36881" w:rsidRDefault="00C36881" w:rsidP="00C36881">
      <w:pPr>
        <w:numPr>
          <w:ilvl w:val="0"/>
          <w:numId w:val="16"/>
        </w:numPr>
        <w:spacing w:after="0"/>
        <w:contextualSpacing/>
        <w:jc w:val="both"/>
      </w:pPr>
      <w:r w:rsidRPr="00C36881">
        <w:rPr>
          <w:b/>
        </w:rPr>
        <w:t>Vanjska usklađenost/koherentnost</w:t>
      </w:r>
      <w:r w:rsidRPr="00C36881">
        <w:t xml:space="preserve"> –usklađenost Plana razvoja s Nacionalnom razvojnom strategijom do 2030. godine te ostalim relevantnim programima na regionalnoj i nacionalnoj razini te s programima EU; postoje li pozitivni učinci u širem kontekstu društveno-gospodarsko-okolišnih potreba i prioriteta šire regije i države.</w:t>
      </w:r>
    </w:p>
    <w:p w14:paraId="73D501B5" w14:textId="77777777" w:rsidR="00C36881" w:rsidRPr="00C36881" w:rsidRDefault="00C36881" w:rsidP="00C36881">
      <w:pPr>
        <w:jc w:val="both"/>
      </w:pPr>
      <w:r w:rsidRPr="00C36881">
        <w:t xml:space="preserve">Tim za vrednovanje dužan je predstaviti Odboru za vrednovanje detaljnu </w:t>
      </w:r>
      <w:r w:rsidRPr="00C36881">
        <w:rPr>
          <w:b/>
        </w:rPr>
        <w:t>metodologiju za provedbu vrednovanja</w:t>
      </w:r>
      <w:r w:rsidRPr="00C36881">
        <w:t xml:space="preserve">, a nakon provedenog vrednovanja predstavit će Odboru sve </w:t>
      </w:r>
      <w:r w:rsidRPr="00C36881">
        <w:rPr>
          <w:b/>
        </w:rPr>
        <w:t>ključne nalaze i zaključke vrednovanja</w:t>
      </w:r>
      <w:r w:rsidRPr="00C36881">
        <w:t xml:space="preserve">, a što je preduvjet za konačno usvajanje </w:t>
      </w:r>
      <w:r w:rsidRPr="00C36881">
        <w:rPr>
          <w:b/>
        </w:rPr>
        <w:t>Izvješća o prethodnom vrednovanju</w:t>
      </w:r>
      <w:r w:rsidRPr="00C36881">
        <w:t xml:space="preserve"> od strane Odbora za vrednovanje.</w:t>
      </w:r>
    </w:p>
    <w:p w14:paraId="4DAF6833" w14:textId="77777777" w:rsidR="00C36881" w:rsidRPr="00C36881" w:rsidRDefault="00C36881" w:rsidP="00C36881">
      <w:pPr>
        <w:spacing w:before="100" w:beforeAutospacing="1" w:after="100" w:afterAutospacing="1"/>
        <w:jc w:val="both"/>
      </w:pPr>
      <w:r w:rsidRPr="00C36881">
        <w:rPr>
          <w:b/>
        </w:rPr>
        <w:lastRenderedPageBreak/>
        <w:t xml:space="preserve">Vrednovanje tijekom provedbe </w:t>
      </w:r>
      <w:r w:rsidRPr="00C36881">
        <w:t>predviđeno je u 2024. godini, na polovici provedbenog razdoblja Plana razvoja kako bi se utvrdio stupanj uspješnosti provedbe te otkrili razlozi možebitnih identificiranih poteškoća u provedbi. Nalazi i zaključci ovog vrednovanja služe da donositelji odluka poduzmu određene korake i reviziju Plana razvoja s ciljem daljnje optimizacije njegove provedbe. Poseban fokus ovog vrednovanja je na učinkovitosti, dosljednosti, djelotvornosti, održivosti i jednakosti.</w:t>
      </w:r>
    </w:p>
    <w:p w14:paraId="5D3D58A6" w14:textId="77777777" w:rsidR="00C36881" w:rsidRPr="00C36881" w:rsidRDefault="00C36881" w:rsidP="00C36881">
      <w:pPr>
        <w:spacing w:before="100" w:beforeAutospacing="1" w:after="100" w:afterAutospacing="1"/>
        <w:jc w:val="both"/>
      </w:pPr>
      <w:r w:rsidRPr="00C36881">
        <w:rPr>
          <w:b/>
        </w:rPr>
        <w:t xml:space="preserve">Vrednovanje nakon provedbe </w:t>
      </w:r>
      <w:r w:rsidRPr="00C36881">
        <w:t>se provodi po završetku razdoblja provedbe Plana razvoja (nakon 2027. godine). Ocjenjuje cjelokupni proces i postignute rezultate te artikulira ključne naučene lekcije i preporuke za buduće unaprjeđenje procesa strateškog planiranja.</w:t>
      </w:r>
    </w:p>
    <w:p w14:paraId="24CB3B7E" w14:textId="40D5B8C5" w:rsidR="00475C3C" w:rsidRPr="0091228A" w:rsidRDefault="00475C3C" w:rsidP="00475C3C">
      <w:pPr>
        <w:rPr>
          <w:rFonts w:cstheme="minorHAnsi"/>
          <w:b/>
        </w:rPr>
      </w:pPr>
    </w:p>
    <w:p w14:paraId="621E3515" w14:textId="3BE74676" w:rsidR="003D7DD3" w:rsidRPr="0091228A" w:rsidRDefault="003D7DD3" w:rsidP="00475C3C">
      <w:pPr>
        <w:rPr>
          <w:rFonts w:cstheme="minorHAnsi"/>
          <w:b/>
        </w:rPr>
      </w:pPr>
    </w:p>
    <w:p w14:paraId="328702EC" w14:textId="77777777" w:rsidR="003D7DD3" w:rsidRPr="0091228A" w:rsidRDefault="003D7DD3" w:rsidP="00475C3C">
      <w:pPr>
        <w:rPr>
          <w:rFonts w:cstheme="minorHAnsi"/>
          <w:b/>
        </w:rPr>
      </w:pPr>
    </w:p>
    <w:p w14:paraId="18AA7AB7" w14:textId="5EAFF1E6" w:rsidR="00C5234C" w:rsidRPr="001166C1" w:rsidRDefault="003D7DD3" w:rsidP="000C6BD4">
      <w:pPr>
        <w:pStyle w:val="Naslov1"/>
        <w:numPr>
          <w:ilvl w:val="0"/>
          <w:numId w:val="0"/>
        </w:numPr>
        <w:rPr>
          <w:rStyle w:val="titlechar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1228A">
        <w:rPr>
          <w:rFonts w:cstheme="minorHAnsi"/>
        </w:rPr>
        <w:br w:type="page"/>
      </w:r>
      <w:bookmarkStart w:id="31" w:name="_Toc84938288"/>
      <w:r w:rsidR="003054DC" w:rsidRPr="001166C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Prilog</w:t>
      </w:r>
      <w:r w:rsidRPr="001166C1">
        <w:rPr>
          <w:rStyle w:val="titlechar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1: </w:t>
      </w:r>
      <w:r w:rsidR="00C5234C" w:rsidRPr="001166C1">
        <w:rPr>
          <w:rStyle w:val="titlechar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Tablica - Plan razvoja Brodsko-posavske županije</w:t>
      </w:r>
      <w:bookmarkEnd w:id="31"/>
      <w:r w:rsidR="00C5234C" w:rsidRPr="001166C1">
        <w:rPr>
          <w:rStyle w:val="titlechar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66FA5F25" w14:textId="533AA5B1" w:rsidR="003D7DD3" w:rsidRPr="001166C1" w:rsidRDefault="00C5234C" w:rsidP="000C6BD4">
      <w:pPr>
        <w:pStyle w:val="Naslov1"/>
        <w:numPr>
          <w:ilvl w:val="0"/>
          <w:numId w:val="0"/>
        </w:numPr>
        <w:rPr>
          <w:rStyle w:val="titlechar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32" w:name="_Toc84938289"/>
      <w:r w:rsidRPr="001166C1">
        <w:rPr>
          <w:rStyle w:val="titlechar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Prilog 2: </w:t>
      </w:r>
      <w:r w:rsidR="003D7DD3" w:rsidRPr="001166C1">
        <w:rPr>
          <w:rStyle w:val="titlechar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Osnovna analiza</w:t>
      </w:r>
      <w:bookmarkEnd w:id="32"/>
    </w:p>
    <w:p w14:paraId="2E20EB5B" w14:textId="51FFCA03" w:rsidR="003D7DD3" w:rsidRPr="001166C1" w:rsidRDefault="00C5234C" w:rsidP="003054DC">
      <w:pPr>
        <w:pStyle w:val="Naslov1"/>
        <w:numPr>
          <w:ilvl w:val="0"/>
          <w:numId w:val="0"/>
        </w:numPr>
        <w:rPr>
          <w:rStyle w:val="titlechar"/>
          <w:rFonts w:cs="Arial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33" w:name="_Toc84938290"/>
      <w:r w:rsidRPr="001166C1">
        <w:rPr>
          <w:rStyle w:val="titlechar"/>
          <w:rFonts w:cs="Arial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Prilog 3</w:t>
      </w:r>
      <w:r w:rsidR="003D7DD3" w:rsidRPr="001166C1">
        <w:rPr>
          <w:rStyle w:val="titlechar"/>
          <w:rFonts w:cs="Arial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: Opis mjera</w:t>
      </w:r>
      <w:bookmarkEnd w:id="33"/>
      <w:r w:rsidR="003D7DD3" w:rsidRPr="001166C1">
        <w:rPr>
          <w:rStyle w:val="titlechar"/>
          <w:rFonts w:cs="Arial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448615AD" w14:textId="0EA7A27D" w:rsidR="003D7DD3" w:rsidRPr="0091228A" w:rsidRDefault="003D7DD3" w:rsidP="00475C3C">
      <w:pPr>
        <w:rPr>
          <w:rFonts w:cstheme="minorHAnsi"/>
          <w:b/>
        </w:rPr>
      </w:pPr>
    </w:p>
    <w:p w14:paraId="5011401F" w14:textId="77777777" w:rsidR="003D7DD3" w:rsidRPr="0091228A" w:rsidRDefault="003D7DD3" w:rsidP="00475C3C">
      <w:pPr>
        <w:rPr>
          <w:rFonts w:cstheme="minorHAnsi"/>
          <w:b/>
        </w:rPr>
      </w:pPr>
    </w:p>
    <w:sectPr w:rsidR="003D7DD3" w:rsidRPr="0091228A" w:rsidSect="00DA3E8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56171" w14:textId="77777777" w:rsidR="00423417" w:rsidRDefault="00423417" w:rsidP="00CF7273">
      <w:r>
        <w:separator/>
      </w:r>
    </w:p>
  </w:endnote>
  <w:endnote w:type="continuationSeparator" w:id="0">
    <w:p w14:paraId="711D2ABA" w14:textId="77777777" w:rsidR="00423417" w:rsidRDefault="00423417" w:rsidP="00CF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354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61658" w14:textId="2A199D6A" w:rsidR="0007230C" w:rsidRDefault="0007230C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7B73F140" w14:textId="77777777" w:rsidR="0007230C" w:rsidRDefault="000723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4B94" w14:textId="77777777" w:rsidR="00423417" w:rsidRDefault="00423417" w:rsidP="00CF7273">
      <w:r>
        <w:separator/>
      </w:r>
    </w:p>
  </w:footnote>
  <w:footnote w:type="continuationSeparator" w:id="0">
    <w:p w14:paraId="2C47E8BE" w14:textId="77777777" w:rsidR="00423417" w:rsidRDefault="00423417" w:rsidP="00CF7273">
      <w:r>
        <w:continuationSeparator/>
      </w:r>
    </w:p>
  </w:footnote>
  <w:footnote w:id="1">
    <w:p w14:paraId="157EB645" w14:textId="77777777" w:rsidR="0007230C" w:rsidRDefault="0007230C" w:rsidP="00C36881">
      <w:pPr>
        <w:pStyle w:val="Tekstfusnote"/>
      </w:pPr>
      <w:r>
        <w:rPr>
          <w:rStyle w:val="Referencafusnote"/>
        </w:rPr>
        <w:footnoteRef/>
      </w:r>
      <w:r w:rsidRPr="00EE78E8">
        <w:t xml:space="preserve"> N</w:t>
      </w:r>
      <w:r>
        <w:t>arodne novine</w:t>
      </w:r>
      <w:r w:rsidRPr="00EE78E8">
        <w:t>, broj 6/19.</w:t>
      </w:r>
    </w:p>
  </w:footnote>
  <w:footnote w:id="2">
    <w:p w14:paraId="39232000" w14:textId="77777777" w:rsidR="0007230C" w:rsidRDefault="0007230C" w:rsidP="00C36881">
      <w:pPr>
        <w:pStyle w:val="Tekstfusnote"/>
      </w:pPr>
      <w:r>
        <w:rPr>
          <w:rStyle w:val="Referencafusnote"/>
        </w:rPr>
        <w:footnoteRef/>
      </w:r>
      <w:r>
        <w:t xml:space="preserve"> Narodne novine</w:t>
      </w:r>
      <w:r w:rsidRPr="00EE78E8">
        <w:t>, broj 66/19.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41CE"/>
    <w:multiLevelType w:val="hybridMultilevel"/>
    <w:tmpl w:val="833295A0"/>
    <w:lvl w:ilvl="0" w:tplc="2B9A09D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48368BC"/>
    <w:multiLevelType w:val="hybridMultilevel"/>
    <w:tmpl w:val="9E2C6854"/>
    <w:lvl w:ilvl="0" w:tplc="2B9A09D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D0F44"/>
    <w:multiLevelType w:val="hybridMultilevel"/>
    <w:tmpl w:val="A04041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47F96"/>
    <w:multiLevelType w:val="hybridMultilevel"/>
    <w:tmpl w:val="E85CB7BC"/>
    <w:lvl w:ilvl="0" w:tplc="2B9A09D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A6196"/>
    <w:multiLevelType w:val="hybridMultilevel"/>
    <w:tmpl w:val="17C67B6C"/>
    <w:lvl w:ilvl="0" w:tplc="2B9A09D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21D3A3A"/>
    <w:multiLevelType w:val="hybridMultilevel"/>
    <w:tmpl w:val="2418224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7B20E8"/>
    <w:multiLevelType w:val="hybridMultilevel"/>
    <w:tmpl w:val="B71AE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53F0A"/>
    <w:multiLevelType w:val="hybridMultilevel"/>
    <w:tmpl w:val="4BFC7EDE"/>
    <w:lvl w:ilvl="0" w:tplc="68F272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DB32BFF"/>
    <w:multiLevelType w:val="hybridMultilevel"/>
    <w:tmpl w:val="A37EC8BE"/>
    <w:lvl w:ilvl="0" w:tplc="535A142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366A9E"/>
    <w:multiLevelType w:val="hybridMultilevel"/>
    <w:tmpl w:val="2C028E2E"/>
    <w:lvl w:ilvl="0" w:tplc="355ED3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E6715"/>
    <w:multiLevelType w:val="hybridMultilevel"/>
    <w:tmpl w:val="CB60A9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2590D"/>
    <w:multiLevelType w:val="hybridMultilevel"/>
    <w:tmpl w:val="2CF8A54A"/>
    <w:lvl w:ilvl="0" w:tplc="2B9A09D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C57BE0"/>
    <w:multiLevelType w:val="hybridMultilevel"/>
    <w:tmpl w:val="9CD04AF4"/>
    <w:lvl w:ilvl="0" w:tplc="2B9A09D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B835F70"/>
    <w:multiLevelType w:val="hybridMultilevel"/>
    <w:tmpl w:val="0AFCB6DC"/>
    <w:lvl w:ilvl="0" w:tplc="786088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95908"/>
    <w:multiLevelType w:val="hybridMultilevel"/>
    <w:tmpl w:val="DE80792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145C4"/>
    <w:multiLevelType w:val="multilevel"/>
    <w:tmpl w:val="202829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7C3D7CAD"/>
    <w:multiLevelType w:val="hybridMultilevel"/>
    <w:tmpl w:val="B450E792"/>
    <w:lvl w:ilvl="0" w:tplc="2B9A09D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D0C7CE2"/>
    <w:multiLevelType w:val="hybridMultilevel"/>
    <w:tmpl w:val="7102E3E8"/>
    <w:lvl w:ilvl="0" w:tplc="2B9A09DE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10"/>
  </w:num>
  <w:num w:numId="5">
    <w:abstractNumId w:val="5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  <w:num w:numId="12">
    <w:abstractNumId w:val="16"/>
  </w:num>
  <w:num w:numId="13">
    <w:abstractNumId w:val="17"/>
  </w:num>
  <w:num w:numId="14">
    <w:abstractNumId w:val="13"/>
  </w:num>
  <w:num w:numId="15">
    <w:abstractNumId w:val="7"/>
  </w:num>
  <w:num w:numId="16">
    <w:abstractNumId w:val="2"/>
  </w:num>
  <w:num w:numId="17">
    <w:abstractNumId w:val="6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2B"/>
    <w:rsid w:val="00000E58"/>
    <w:rsid w:val="000028F6"/>
    <w:rsid w:val="00005041"/>
    <w:rsid w:val="000245C2"/>
    <w:rsid w:val="00032969"/>
    <w:rsid w:val="00034749"/>
    <w:rsid w:val="00036672"/>
    <w:rsid w:val="00036BBE"/>
    <w:rsid w:val="00040BF3"/>
    <w:rsid w:val="00041375"/>
    <w:rsid w:val="000536C0"/>
    <w:rsid w:val="00062C4A"/>
    <w:rsid w:val="0007230C"/>
    <w:rsid w:val="00075E75"/>
    <w:rsid w:val="00077446"/>
    <w:rsid w:val="000835B5"/>
    <w:rsid w:val="00086E89"/>
    <w:rsid w:val="00090116"/>
    <w:rsid w:val="00091130"/>
    <w:rsid w:val="000968ED"/>
    <w:rsid w:val="000A0100"/>
    <w:rsid w:val="000A0E5A"/>
    <w:rsid w:val="000A2404"/>
    <w:rsid w:val="000A44A5"/>
    <w:rsid w:val="000A48D4"/>
    <w:rsid w:val="000A6110"/>
    <w:rsid w:val="000C084C"/>
    <w:rsid w:val="000C31CC"/>
    <w:rsid w:val="000C3E67"/>
    <w:rsid w:val="000C6BD4"/>
    <w:rsid w:val="000D402E"/>
    <w:rsid w:val="000E634A"/>
    <w:rsid w:val="000E75F3"/>
    <w:rsid w:val="000F0A96"/>
    <w:rsid w:val="000F3BC8"/>
    <w:rsid w:val="0010313C"/>
    <w:rsid w:val="00105FCC"/>
    <w:rsid w:val="0010607E"/>
    <w:rsid w:val="00113572"/>
    <w:rsid w:val="001166C1"/>
    <w:rsid w:val="00116FA9"/>
    <w:rsid w:val="00120132"/>
    <w:rsid w:val="001221A2"/>
    <w:rsid w:val="001271C4"/>
    <w:rsid w:val="00130D50"/>
    <w:rsid w:val="001336B6"/>
    <w:rsid w:val="00134B31"/>
    <w:rsid w:val="0013560E"/>
    <w:rsid w:val="00141C07"/>
    <w:rsid w:val="00143268"/>
    <w:rsid w:val="00145F63"/>
    <w:rsid w:val="00150EE2"/>
    <w:rsid w:val="001510D5"/>
    <w:rsid w:val="0015525C"/>
    <w:rsid w:val="001620EC"/>
    <w:rsid w:val="00173F0C"/>
    <w:rsid w:val="00183DAC"/>
    <w:rsid w:val="0018496E"/>
    <w:rsid w:val="00186D86"/>
    <w:rsid w:val="00197987"/>
    <w:rsid w:val="001A03B0"/>
    <w:rsid w:val="001A071C"/>
    <w:rsid w:val="001A1420"/>
    <w:rsid w:val="001A5E0D"/>
    <w:rsid w:val="001B37D4"/>
    <w:rsid w:val="001B3B1E"/>
    <w:rsid w:val="001B5780"/>
    <w:rsid w:val="001C77E8"/>
    <w:rsid w:val="001D5AA0"/>
    <w:rsid w:val="001F2877"/>
    <w:rsid w:val="001F6A0F"/>
    <w:rsid w:val="00203322"/>
    <w:rsid w:val="002044E8"/>
    <w:rsid w:val="002047FD"/>
    <w:rsid w:val="002103DC"/>
    <w:rsid w:val="0021472A"/>
    <w:rsid w:val="0021573B"/>
    <w:rsid w:val="0022072A"/>
    <w:rsid w:val="00226834"/>
    <w:rsid w:val="00231110"/>
    <w:rsid w:val="00233976"/>
    <w:rsid w:val="002369C1"/>
    <w:rsid w:val="0024397C"/>
    <w:rsid w:val="002447FC"/>
    <w:rsid w:val="00246712"/>
    <w:rsid w:val="00251BA8"/>
    <w:rsid w:val="002533CA"/>
    <w:rsid w:val="002559FF"/>
    <w:rsid w:val="00256E48"/>
    <w:rsid w:val="0026370E"/>
    <w:rsid w:val="0027309E"/>
    <w:rsid w:val="00274DEB"/>
    <w:rsid w:val="00275D46"/>
    <w:rsid w:val="0027619D"/>
    <w:rsid w:val="002775BD"/>
    <w:rsid w:val="00281D97"/>
    <w:rsid w:val="00283BA7"/>
    <w:rsid w:val="00285DD9"/>
    <w:rsid w:val="00287787"/>
    <w:rsid w:val="002A0294"/>
    <w:rsid w:val="002A17A8"/>
    <w:rsid w:val="002A57A2"/>
    <w:rsid w:val="002B0364"/>
    <w:rsid w:val="002B14D5"/>
    <w:rsid w:val="002B65CE"/>
    <w:rsid w:val="002B7783"/>
    <w:rsid w:val="002C195D"/>
    <w:rsid w:val="002D58B6"/>
    <w:rsid w:val="002D6113"/>
    <w:rsid w:val="002E2849"/>
    <w:rsid w:val="002E38D7"/>
    <w:rsid w:val="002E48B7"/>
    <w:rsid w:val="00303160"/>
    <w:rsid w:val="003054DC"/>
    <w:rsid w:val="00307834"/>
    <w:rsid w:val="00311A04"/>
    <w:rsid w:val="00311EB5"/>
    <w:rsid w:val="00314531"/>
    <w:rsid w:val="00316B5F"/>
    <w:rsid w:val="00321DDF"/>
    <w:rsid w:val="0032391C"/>
    <w:rsid w:val="0033102D"/>
    <w:rsid w:val="0033167D"/>
    <w:rsid w:val="003354E5"/>
    <w:rsid w:val="00336CD2"/>
    <w:rsid w:val="003419AF"/>
    <w:rsid w:val="003419D5"/>
    <w:rsid w:val="00342974"/>
    <w:rsid w:val="00345A61"/>
    <w:rsid w:val="00346D1B"/>
    <w:rsid w:val="0035003C"/>
    <w:rsid w:val="003519AD"/>
    <w:rsid w:val="003542AF"/>
    <w:rsid w:val="00356F48"/>
    <w:rsid w:val="003575DD"/>
    <w:rsid w:val="003609E8"/>
    <w:rsid w:val="0036389B"/>
    <w:rsid w:val="00366459"/>
    <w:rsid w:val="00366EE6"/>
    <w:rsid w:val="0037471B"/>
    <w:rsid w:val="00383B24"/>
    <w:rsid w:val="00383FBF"/>
    <w:rsid w:val="003858F2"/>
    <w:rsid w:val="00386B7A"/>
    <w:rsid w:val="00386D22"/>
    <w:rsid w:val="00386E0D"/>
    <w:rsid w:val="00386FB4"/>
    <w:rsid w:val="00387487"/>
    <w:rsid w:val="003903DF"/>
    <w:rsid w:val="003936BF"/>
    <w:rsid w:val="003936FA"/>
    <w:rsid w:val="003A708E"/>
    <w:rsid w:val="003B0B8F"/>
    <w:rsid w:val="003B1C89"/>
    <w:rsid w:val="003B3EDC"/>
    <w:rsid w:val="003C098C"/>
    <w:rsid w:val="003C0EF5"/>
    <w:rsid w:val="003C68DC"/>
    <w:rsid w:val="003D3F14"/>
    <w:rsid w:val="003D442A"/>
    <w:rsid w:val="003D7DD3"/>
    <w:rsid w:val="0040032E"/>
    <w:rsid w:val="0040550E"/>
    <w:rsid w:val="004116B7"/>
    <w:rsid w:val="00421950"/>
    <w:rsid w:val="00423417"/>
    <w:rsid w:val="00424240"/>
    <w:rsid w:val="00424C27"/>
    <w:rsid w:val="004306E1"/>
    <w:rsid w:val="004348F5"/>
    <w:rsid w:val="004520BD"/>
    <w:rsid w:val="004614DD"/>
    <w:rsid w:val="004628A0"/>
    <w:rsid w:val="00463835"/>
    <w:rsid w:val="004639BC"/>
    <w:rsid w:val="00470D9E"/>
    <w:rsid w:val="00473D2E"/>
    <w:rsid w:val="00475C3C"/>
    <w:rsid w:val="004766C8"/>
    <w:rsid w:val="0048082B"/>
    <w:rsid w:val="00486650"/>
    <w:rsid w:val="0049713A"/>
    <w:rsid w:val="004A2F34"/>
    <w:rsid w:val="004A421C"/>
    <w:rsid w:val="004A70EC"/>
    <w:rsid w:val="004C50AB"/>
    <w:rsid w:val="004C5CDF"/>
    <w:rsid w:val="004C7B27"/>
    <w:rsid w:val="004C7C9B"/>
    <w:rsid w:val="004D52EE"/>
    <w:rsid w:val="004D5E88"/>
    <w:rsid w:val="004D77CE"/>
    <w:rsid w:val="004E1554"/>
    <w:rsid w:val="004E1D91"/>
    <w:rsid w:val="004E7B5B"/>
    <w:rsid w:val="004F061E"/>
    <w:rsid w:val="004F1DE5"/>
    <w:rsid w:val="004F3D19"/>
    <w:rsid w:val="004F70CA"/>
    <w:rsid w:val="005000C9"/>
    <w:rsid w:val="00502EED"/>
    <w:rsid w:val="0050466A"/>
    <w:rsid w:val="00516111"/>
    <w:rsid w:val="00520585"/>
    <w:rsid w:val="00521A60"/>
    <w:rsid w:val="00522DF3"/>
    <w:rsid w:val="0052679E"/>
    <w:rsid w:val="0052782D"/>
    <w:rsid w:val="0053023B"/>
    <w:rsid w:val="00532FDC"/>
    <w:rsid w:val="00533CC8"/>
    <w:rsid w:val="00536E0A"/>
    <w:rsid w:val="00540927"/>
    <w:rsid w:val="005547AB"/>
    <w:rsid w:val="005555EA"/>
    <w:rsid w:val="00563234"/>
    <w:rsid w:val="00576D93"/>
    <w:rsid w:val="00580B39"/>
    <w:rsid w:val="005870C8"/>
    <w:rsid w:val="005900C8"/>
    <w:rsid w:val="0059096B"/>
    <w:rsid w:val="005A1EDB"/>
    <w:rsid w:val="005A40FD"/>
    <w:rsid w:val="005A4FC3"/>
    <w:rsid w:val="005A7DF6"/>
    <w:rsid w:val="005C728F"/>
    <w:rsid w:val="005E5001"/>
    <w:rsid w:val="005F5DF4"/>
    <w:rsid w:val="00604F0A"/>
    <w:rsid w:val="00607446"/>
    <w:rsid w:val="006206DC"/>
    <w:rsid w:val="006218AD"/>
    <w:rsid w:val="00633C04"/>
    <w:rsid w:val="0063605A"/>
    <w:rsid w:val="006433A8"/>
    <w:rsid w:val="0065263E"/>
    <w:rsid w:val="00653BBB"/>
    <w:rsid w:val="00656282"/>
    <w:rsid w:val="00657BD3"/>
    <w:rsid w:val="00670C3F"/>
    <w:rsid w:val="006751C9"/>
    <w:rsid w:val="00684825"/>
    <w:rsid w:val="00685CB1"/>
    <w:rsid w:val="00687172"/>
    <w:rsid w:val="00691A55"/>
    <w:rsid w:val="006A25E5"/>
    <w:rsid w:val="006A78F2"/>
    <w:rsid w:val="006B1DCD"/>
    <w:rsid w:val="006C212F"/>
    <w:rsid w:val="006C48F5"/>
    <w:rsid w:val="006C5F4D"/>
    <w:rsid w:val="006D7048"/>
    <w:rsid w:val="006E0352"/>
    <w:rsid w:val="006F0DD5"/>
    <w:rsid w:val="006F2E17"/>
    <w:rsid w:val="006F3311"/>
    <w:rsid w:val="006F3FC9"/>
    <w:rsid w:val="006F7FE4"/>
    <w:rsid w:val="007001F0"/>
    <w:rsid w:val="007014DD"/>
    <w:rsid w:val="0070206F"/>
    <w:rsid w:val="007129F7"/>
    <w:rsid w:val="007201F6"/>
    <w:rsid w:val="0072192E"/>
    <w:rsid w:val="00722012"/>
    <w:rsid w:val="00722409"/>
    <w:rsid w:val="00723740"/>
    <w:rsid w:val="007270EB"/>
    <w:rsid w:val="00734863"/>
    <w:rsid w:val="0073623F"/>
    <w:rsid w:val="0074532D"/>
    <w:rsid w:val="00745BA9"/>
    <w:rsid w:val="007510FD"/>
    <w:rsid w:val="007524CA"/>
    <w:rsid w:val="0075597A"/>
    <w:rsid w:val="00755A6E"/>
    <w:rsid w:val="00755BDF"/>
    <w:rsid w:val="00756B70"/>
    <w:rsid w:val="00756D40"/>
    <w:rsid w:val="007575C4"/>
    <w:rsid w:val="007608B4"/>
    <w:rsid w:val="0076214D"/>
    <w:rsid w:val="007640C6"/>
    <w:rsid w:val="007655E5"/>
    <w:rsid w:val="00771702"/>
    <w:rsid w:val="00777E47"/>
    <w:rsid w:val="00786E58"/>
    <w:rsid w:val="00793091"/>
    <w:rsid w:val="00797288"/>
    <w:rsid w:val="007973DA"/>
    <w:rsid w:val="00797C47"/>
    <w:rsid w:val="007A109D"/>
    <w:rsid w:val="007B54A7"/>
    <w:rsid w:val="007B73A1"/>
    <w:rsid w:val="007B7B70"/>
    <w:rsid w:val="007C6A0A"/>
    <w:rsid w:val="007D2117"/>
    <w:rsid w:val="007D6D34"/>
    <w:rsid w:val="007D7DB9"/>
    <w:rsid w:val="007E0E3E"/>
    <w:rsid w:val="007E691B"/>
    <w:rsid w:val="007E789B"/>
    <w:rsid w:val="007F143C"/>
    <w:rsid w:val="007F7AF7"/>
    <w:rsid w:val="00801B3E"/>
    <w:rsid w:val="0080417F"/>
    <w:rsid w:val="0080556D"/>
    <w:rsid w:val="00806B16"/>
    <w:rsid w:val="008100B5"/>
    <w:rsid w:val="00810B33"/>
    <w:rsid w:val="00817A0F"/>
    <w:rsid w:val="00836EE8"/>
    <w:rsid w:val="00844430"/>
    <w:rsid w:val="008513FC"/>
    <w:rsid w:val="0085400A"/>
    <w:rsid w:val="00863A05"/>
    <w:rsid w:val="00863DA2"/>
    <w:rsid w:val="00865A34"/>
    <w:rsid w:val="00872CEB"/>
    <w:rsid w:val="00873522"/>
    <w:rsid w:val="00882D37"/>
    <w:rsid w:val="00890219"/>
    <w:rsid w:val="008A1FB0"/>
    <w:rsid w:val="008B45DD"/>
    <w:rsid w:val="008B4B66"/>
    <w:rsid w:val="008B667F"/>
    <w:rsid w:val="008D14B9"/>
    <w:rsid w:val="008D75EB"/>
    <w:rsid w:val="008E3F70"/>
    <w:rsid w:val="008F04A2"/>
    <w:rsid w:val="008F4C66"/>
    <w:rsid w:val="008F7DA9"/>
    <w:rsid w:val="00910046"/>
    <w:rsid w:val="00911AA9"/>
    <w:rsid w:val="0091228A"/>
    <w:rsid w:val="00912517"/>
    <w:rsid w:val="00917731"/>
    <w:rsid w:val="0092577E"/>
    <w:rsid w:val="00926D86"/>
    <w:rsid w:val="00932ACA"/>
    <w:rsid w:val="009439B4"/>
    <w:rsid w:val="009442D4"/>
    <w:rsid w:val="00946D5D"/>
    <w:rsid w:val="009473E6"/>
    <w:rsid w:val="00953264"/>
    <w:rsid w:val="00962F24"/>
    <w:rsid w:val="00963A92"/>
    <w:rsid w:val="00975640"/>
    <w:rsid w:val="009800CB"/>
    <w:rsid w:val="00982496"/>
    <w:rsid w:val="00984910"/>
    <w:rsid w:val="009936CE"/>
    <w:rsid w:val="00996C8C"/>
    <w:rsid w:val="009A13D7"/>
    <w:rsid w:val="009A352E"/>
    <w:rsid w:val="009D104D"/>
    <w:rsid w:val="009D2140"/>
    <w:rsid w:val="009D2E6D"/>
    <w:rsid w:val="009D60CA"/>
    <w:rsid w:val="009E3EBD"/>
    <w:rsid w:val="009E405C"/>
    <w:rsid w:val="009F1F06"/>
    <w:rsid w:val="009F46D6"/>
    <w:rsid w:val="009F607C"/>
    <w:rsid w:val="00A041E1"/>
    <w:rsid w:val="00A04530"/>
    <w:rsid w:val="00A052A9"/>
    <w:rsid w:val="00A07F91"/>
    <w:rsid w:val="00A12E65"/>
    <w:rsid w:val="00A14298"/>
    <w:rsid w:val="00A24181"/>
    <w:rsid w:val="00A2514F"/>
    <w:rsid w:val="00A262CC"/>
    <w:rsid w:val="00A30DE6"/>
    <w:rsid w:val="00A32D51"/>
    <w:rsid w:val="00A33750"/>
    <w:rsid w:val="00A34825"/>
    <w:rsid w:val="00A351ED"/>
    <w:rsid w:val="00A36130"/>
    <w:rsid w:val="00A374DA"/>
    <w:rsid w:val="00A40778"/>
    <w:rsid w:val="00A43E6B"/>
    <w:rsid w:val="00A453FF"/>
    <w:rsid w:val="00A4557B"/>
    <w:rsid w:val="00A46C75"/>
    <w:rsid w:val="00A51150"/>
    <w:rsid w:val="00A53CC9"/>
    <w:rsid w:val="00A556DB"/>
    <w:rsid w:val="00A55D84"/>
    <w:rsid w:val="00A57DDD"/>
    <w:rsid w:val="00A64632"/>
    <w:rsid w:val="00A64AAB"/>
    <w:rsid w:val="00A66FB5"/>
    <w:rsid w:val="00A7276B"/>
    <w:rsid w:val="00A72D51"/>
    <w:rsid w:val="00A74C5B"/>
    <w:rsid w:val="00A85376"/>
    <w:rsid w:val="00A87054"/>
    <w:rsid w:val="00A92F9B"/>
    <w:rsid w:val="00AA091E"/>
    <w:rsid w:val="00AA179F"/>
    <w:rsid w:val="00AA310A"/>
    <w:rsid w:val="00AA4FE8"/>
    <w:rsid w:val="00AA5FE1"/>
    <w:rsid w:val="00AA65EA"/>
    <w:rsid w:val="00AB2944"/>
    <w:rsid w:val="00AC1269"/>
    <w:rsid w:val="00AC1BB8"/>
    <w:rsid w:val="00AC7E3F"/>
    <w:rsid w:val="00AD0F9C"/>
    <w:rsid w:val="00AD26E0"/>
    <w:rsid w:val="00AD42B9"/>
    <w:rsid w:val="00AD5B31"/>
    <w:rsid w:val="00AD6053"/>
    <w:rsid w:val="00AE0978"/>
    <w:rsid w:val="00AE1B50"/>
    <w:rsid w:val="00AE674C"/>
    <w:rsid w:val="00AE7A34"/>
    <w:rsid w:val="00AE7BA9"/>
    <w:rsid w:val="00AF466A"/>
    <w:rsid w:val="00B06514"/>
    <w:rsid w:val="00B0666F"/>
    <w:rsid w:val="00B07956"/>
    <w:rsid w:val="00B07EC2"/>
    <w:rsid w:val="00B07F6F"/>
    <w:rsid w:val="00B20915"/>
    <w:rsid w:val="00B22A8C"/>
    <w:rsid w:val="00B2547E"/>
    <w:rsid w:val="00B26B9F"/>
    <w:rsid w:val="00B320E7"/>
    <w:rsid w:val="00B41592"/>
    <w:rsid w:val="00B4479C"/>
    <w:rsid w:val="00B5068B"/>
    <w:rsid w:val="00B55412"/>
    <w:rsid w:val="00B55734"/>
    <w:rsid w:val="00B60F8C"/>
    <w:rsid w:val="00B61833"/>
    <w:rsid w:val="00B61A5C"/>
    <w:rsid w:val="00B62398"/>
    <w:rsid w:val="00B64CBD"/>
    <w:rsid w:val="00B65696"/>
    <w:rsid w:val="00B67DBB"/>
    <w:rsid w:val="00B725C9"/>
    <w:rsid w:val="00B74DB7"/>
    <w:rsid w:val="00B81A0E"/>
    <w:rsid w:val="00B82D1E"/>
    <w:rsid w:val="00B859F6"/>
    <w:rsid w:val="00B9554A"/>
    <w:rsid w:val="00BA5B2B"/>
    <w:rsid w:val="00BB1DC1"/>
    <w:rsid w:val="00BC1BCF"/>
    <w:rsid w:val="00BC2858"/>
    <w:rsid w:val="00BC6F91"/>
    <w:rsid w:val="00BC7C41"/>
    <w:rsid w:val="00BD08B2"/>
    <w:rsid w:val="00BD46F1"/>
    <w:rsid w:val="00BD6841"/>
    <w:rsid w:val="00BE5EB6"/>
    <w:rsid w:val="00BE796B"/>
    <w:rsid w:val="00BF610D"/>
    <w:rsid w:val="00C03537"/>
    <w:rsid w:val="00C0616C"/>
    <w:rsid w:val="00C07320"/>
    <w:rsid w:val="00C1514B"/>
    <w:rsid w:val="00C1784A"/>
    <w:rsid w:val="00C20DD1"/>
    <w:rsid w:val="00C3188D"/>
    <w:rsid w:val="00C32CF7"/>
    <w:rsid w:val="00C36379"/>
    <w:rsid w:val="00C36881"/>
    <w:rsid w:val="00C43EA8"/>
    <w:rsid w:val="00C442A5"/>
    <w:rsid w:val="00C5234C"/>
    <w:rsid w:val="00C55151"/>
    <w:rsid w:val="00C5709D"/>
    <w:rsid w:val="00C671B9"/>
    <w:rsid w:val="00C731AF"/>
    <w:rsid w:val="00C776F7"/>
    <w:rsid w:val="00C8161E"/>
    <w:rsid w:val="00C87886"/>
    <w:rsid w:val="00C93983"/>
    <w:rsid w:val="00CA057F"/>
    <w:rsid w:val="00CA6021"/>
    <w:rsid w:val="00CD1D31"/>
    <w:rsid w:val="00CD7EB9"/>
    <w:rsid w:val="00CF02E9"/>
    <w:rsid w:val="00CF0A92"/>
    <w:rsid w:val="00CF650B"/>
    <w:rsid w:val="00CF7273"/>
    <w:rsid w:val="00CF7E2A"/>
    <w:rsid w:val="00D00594"/>
    <w:rsid w:val="00D00B03"/>
    <w:rsid w:val="00D024EA"/>
    <w:rsid w:val="00D040A9"/>
    <w:rsid w:val="00D125F8"/>
    <w:rsid w:val="00D1589E"/>
    <w:rsid w:val="00D16FEE"/>
    <w:rsid w:val="00D207DC"/>
    <w:rsid w:val="00D24EFD"/>
    <w:rsid w:val="00D33B8D"/>
    <w:rsid w:val="00D34CF4"/>
    <w:rsid w:val="00D35ABA"/>
    <w:rsid w:val="00D35FC2"/>
    <w:rsid w:val="00D3657F"/>
    <w:rsid w:val="00D43E97"/>
    <w:rsid w:val="00D458E3"/>
    <w:rsid w:val="00D46D8C"/>
    <w:rsid w:val="00D47618"/>
    <w:rsid w:val="00D506AB"/>
    <w:rsid w:val="00D53ECC"/>
    <w:rsid w:val="00D572A7"/>
    <w:rsid w:val="00D676AB"/>
    <w:rsid w:val="00D72170"/>
    <w:rsid w:val="00D728B3"/>
    <w:rsid w:val="00D80492"/>
    <w:rsid w:val="00D826DD"/>
    <w:rsid w:val="00D85CCB"/>
    <w:rsid w:val="00D90376"/>
    <w:rsid w:val="00D922ED"/>
    <w:rsid w:val="00D93E67"/>
    <w:rsid w:val="00D941D3"/>
    <w:rsid w:val="00D96445"/>
    <w:rsid w:val="00DA3E80"/>
    <w:rsid w:val="00DB0E42"/>
    <w:rsid w:val="00DB1FD2"/>
    <w:rsid w:val="00DC0254"/>
    <w:rsid w:val="00DC3900"/>
    <w:rsid w:val="00DC7476"/>
    <w:rsid w:val="00DD6A67"/>
    <w:rsid w:val="00DD7249"/>
    <w:rsid w:val="00DD7C40"/>
    <w:rsid w:val="00DE0238"/>
    <w:rsid w:val="00DF4171"/>
    <w:rsid w:val="00DF45F5"/>
    <w:rsid w:val="00DF71B6"/>
    <w:rsid w:val="00E15A85"/>
    <w:rsid w:val="00E16022"/>
    <w:rsid w:val="00E16A40"/>
    <w:rsid w:val="00E2214B"/>
    <w:rsid w:val="00E302A4"/>
    <w:rsid w:val="00E30EAA"/>
    <w:rsid w:val="00E34011"/>
    <w:rsid w:val="00E3425C"/>
    <w:rsid w:val="00E366A5"/>
    <w:rsid w:val="00E404DD"/>
    <w:rsid w:val="00E4113E"/>
    <w:rsid w:val="00E50ED4"/>
    <w:rsid w:val="00E54322"/>
    <w:rsid w:val="00E74862"/>
    <w:rsid w:val="00E759D6"/>
    <w:rsid w:val="00E87AC0"/>
    <w:rsid w:val="00E91BF4"/>
    <w:rsid w:val="00E92026"/>
    <w:rsid w:val="00E93984"/>
    <w:rsid w:val="00E95808"/>
    <w:rsid w:val="00EA0845"/>
    <w:rsid w:val="00EA7E45"/>
    <w:rsid w:val="00EB01DB"/>
    <w:rsid w:val="00EB2A64"/>
    <w:rsid w:val="00EB6D0C"/>
    <w:rsid w:val="00EC03B6"/>
    <w:rsid w:val="00EC0DF0"/>
    <w:rsid w:val="00EC6562"/>
    <w:rsid w:val="00EC73B9"/>
    <w:rsid w:val="00EC75EE"/>
    <w:rsid w:val="00ED2F55"/>
    <w:rsid w:val="00EE395E"/>
    <w:rsid w:val="00EE4C38"/>
    <w:rsid w:val="00EE7A85"/>
    <w:rsid w:val="00EF1FDC"/>
    <w:rsid w:val="00EF7154"/>
    <w:rsid w:val="00F0097E"/>
    <w:rsid w:val="00F117A9"/>
    <w:rsid w:val="00F127A5"/>
    <w:rsid w:val="00F21335"/>
    <w:rsid w:val="00F24307"/>
    <w:rsid w:val="00F258EC"/>
    <w:rsid w:val="00F30B51"/>
    <w:rsid w:val="00F33D75"/>
    <w:rsid w:val="00F40B66"/>
    <w:rsid w:val="00F4664F"/>
    <w:rsid w:val="00F50B84"/>
    <w:rsid w:val="00F51A0B"/>
    <w:rsid w:val="00F53480"/>
    <w:rsid w:val="00F6340E"/>
    <w:rsid w:val="00F635D0"/>
    <w:rsid w:val="00F63F32"/>
    <w:rsid w:val="00F64C86"/>
    <w:rsid w:val="00F739B7"/>
    <w:rsid w:val="00F812AA"/>
    <w:rsid w:val="00F81DD4"/>
    <w:rsid w:val="00F825E7"/>
    <w:rsid w:val="00F828FF"/>
    <w:rsid w:val="00F90153"/>
    <w:rsid w:val="00F93F9A"/>
    <w:rsid w:val="00F9405E"/>
    <w:rsid w:val="00FA3ACD"/>
    <w:rsid w:val="00FA4376"/>
    <w:rsid w:val="00FA7396"/>
    <w:rsid w:val="00FB196E"/>
    <w:rsid w:val="00FB264B"/>
    <w:rsid w:val="00FC2B4E"/>
    <w:rsid w:val="00FC603A"/>
    <w:rsid w:val="00FD1306"/>
    <w:rsid w:val="00FD2A30"/>
    <w:rsid w:val="00FD5BE3"/>
    <w:rsid w:val="00FE0B22"/>
    <w:rsid w:val="00FE155C"/>
    <w:rsid w:val="00FE1AA7"/>
    <w:rsid w:val="00FF322D"/>
    <w:rsid w:val="00FF6514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BE49E"/>
  <w15:chartTrackingRefBased/>
  <w15:docId w15:val="{40F340F2-6186-4F97-978C-A1A21A13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60E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18496E"/>
    <w:pPr>
      <w:keepNext/>
      <w:keepLines/>
      <w:numPr>
        <w:numId w:val="14"/>
      </w:numPr>
      <w:spacing w:before="600" w:after="240"/>
      <w:ind w:left="714" w:hanging="357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3560E"/>
    <w:pPr>
      <w:keepNext/>
      <w:keepLines/>
      <w:spacing w:before="480" w:after="240" w:line="259" w:lineRule="auto"/>
      <w:ind w:left="357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5C3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11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F72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7273"/>
  </w:style>
  <w:style w:type="paragraph" w:styleId="Podnoje">
    <w:name w:val="footer"/>
    <w:basedOn w:val="Normal"/>
    <w:link w:val="PodnojeChar"/>
    <w:uiPriority w:val="99"/>
    <w:unhideWhenUsed/>
    <w:rsid w:val="00CF72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7273"/>
  </w:style>
  <w:style w:type="character" w:customStyle="1" w:styleId="titlechar">
    <w:name w:val="titlechar"/>
    <w:basedOn w:val="Zadanifontodlomka"/>
    <w:rsid w:val="00424C27"/>
  </w:style>
  <w:style w:type="paragraph" w:styleId="Odlomakpopisa">
    <w:name w:val="List Paragraph"/>
    <w:aliases w:val="heading 1,opsomming 1,2,3 *-,Heading 11,3 *- Char Char,Odlomak popisa1"/>
    <w:basedOn w:val="Normal"/>
    <w:link w:val="OdlomakpopisaChar"/>
    <w:uiPriority w:val="34"/>
    <w:qFormat/>
    <w:rsid w:val="002775BD"/>
    <w:pPr>
      <w:ind w:left="720"/>
      <w:contextualSpacing/>
    </w:pPr>
  </w:style>
  <w:style w:type="paragraph" w:styleId="Opisslike">
    <w:name w:val="caption"/>
    <w:aliases w:val="BlanS_Caption"/>
    <w:basedOn w:val="Normal"/>
    <w:next w:val="Normal"/>
    <w:uiPriority w:val="35"/>
    <w:unhideWhenUsed/>
    <w:qFormat/>
    <w:rsid w:val="00D43E97"/>
    <w:pPr>
      <w:spacing w:after="160"/>
      <w:jc w:val="both"/>
    </w:pPr>
    <w:rPr>
      <w:b/>
      <w:bCs/>
      <w:i/>
      <w:color w:val="5B9BD5" w:themeColor="accent1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18496E"/>
    <w:rPr>
      <w:rFonts w:ascii="Calibri" w:eastAsiaTheme="majorEastAsia" w:hAnsi="Calibri" w:cstheme="majorBidi"/>
      <w:b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3936BF"/>
    <w:pPr>
      <w:spacing w:line="259" w:lineRule="auto"/>
      <w:outlineLvl w:val="9"/>
    </w:pPr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4C5C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C5CDF"/>
    <w:pPr>
      <w:spacing w:after="160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C5CDF"/>
    <w:rPr>
      <w:sz w:val="20"/>
      <w:szCs w:val="20"/>
    </w:rPr>
  </w:style>
  <w:style w:type="table" w:customStyle="1" w:styleId="TableGrid1">
    <w:name w:val="Table Grid1"/>
    <w:basedOn w:val="Obinatablica"/>
    <w:next w:val="Reetkatablice"/>
    <w:uiPriority w:val="39"/>
    <w:rsid w:val="00D80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 Char,opsomming 1 Char,2 Char,3 *- Char,Heading 11 Char,3 *- Char Char Char,Odlomak popisa1 Char"/>
    <w:link w:val="Odlomakpopisa"/>
    <w:uiPriority w:val="34"/>
    <w:qFormat/>
    <w:locked/>
    <w:rsid w:val="00D80492"/>
  </w:style>
  <w:style w:type="character" w:customStyle="1" w:styleId="Naslov2Char">
    <w:name w:val="Naslov 2 Char"/>
    <w:basedOn w:val="Zadanifontodlomka"/>
    <w:link w:val="Naslov2"/>
    <w:uiPriority w:val="9"/>
    <w:rsid w:val="0013560E"/>
    <w:rPr>
      <w:rFonts w:ascii="Calibri" w:eastAsiaTheme="majorEastAsia" w:hAnsi="Calibri" w:cstheme="majorBidi"/>
      <w:b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5C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345A61"/>
    <w:pPr>
      <w:spacing w:after="100" w:line="259" w:lineRule="auto"/>
    </w:pPr>
    <w:rPr>
      <w:rFonts w:ascii="Calibri" w:hAnsi="Calibri"/>
    </w:rPr>
  </w:style>
  <w:style w:type="character" w:styleId="Hiperveza">
    <w:name w:val="Hyperlink"/>
    <w:basedOn w:val="Zadanifontodlomka"/>
    <w:uiPriority w:val="99"/>
    <w:unhideWhenUsed/>
    <w:rsid w:val="00475C3C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345A61"/>
    <w:pPr>
      <w:spacing w:after="100" w:line="259" w:lineRule="auto"/>
      <w:ind w:left="220"/>
    </w:pPr>
    <w:rPr>
      <w:rFonts w:ascii="Calibri" w:eastAsiaTheme="minorEastAsia" w:hAnsi="Calibri" w:cs="Times New Roman"/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rsid w:val="00475C3C"/>
    <w:pPr>
      <w:spacing w:after="100" w:line="259" w:lineRule="auto"/>
      <w:ind w:left="440"/>
    </w:pPr>
    <w:rPr>
      <w:rFonts w:ascii="Times New Roman" w:eastAsiaTheme="minorEastAsia" w:hAnsi="Times New Roman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5C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C3C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rsid w:val="00475C3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75C3C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customStyle="1" w:styleId="Default">
    <w:name w:val="Default"/>
    <w:uiPriority w:val="99"/>
    <w:qFormat/>
    <w:rsid w:val="00475C3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A6"/>
    <w:uiPriority w:val="99"/>
    <w:rsid w:val="00475C3C"/>
    <w:rPr>
      <w:rFonts w:cs="Palatino Linotype"/>
      <w:i/>
      <w:iCs/>
      <w:color w:val="000000"/>
      <w:sz w:val="18"/>
      <w:szCs w:val="18"/>
    </w:rPr>
  </w:style>
  <w:style w:type="paragraph" w:styleId="Bezproreda">
    <w:name w:val="No Spacing"/>
    <w:uiPriority w:val="1"/>
    <w:qFormat/>
    <w:rsid w:val="00475C3C"/>
    <w:rPr>
      <w:rFonts w:eastAsiaTheme="minorEastAsia"/>
      <w:lang w:eastAsia="hr-HR"/>
    </w:rPr>
  </w:style>
  <w:style w:type="table" w:styleId="Svijetlatablicareetke-isticanje1">
    <w:name w:val="Grid Table 1 Light Accent 1"/>
    <w:basedOn w:val="Obinatablica"/>
    <w:uiPriority w:val="46"/>
    <w:rsid w:val="00475C3C"/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Normal"/>
    <w:uiPriority w:val="99"/>
    <w:unhideWhenUsed/>
    <w:rsid w:val="00475C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75C3C"/>
    <w:rPr>
      <w:b/>
      <w:bCs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75C3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75C3C"/>
    <w:rPr>
      <w:b/>
      <w:bCs/>
      <w:sz w:val="20"/>
      <w:szCs w:val="20"/>
    </w:rPr>
  </w:style>
  <w:style w:type="character" w:customStyle="1" w:styleId="fontstyle01">
    <w:name w:val="fontstyle01"/>
    <w:basedOn w:val="Zadanifontodlomka"/>
    <w:rsid w:val="00475C3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textrun">
    <w:name w:val="normaltextrun"/>
    <w:basedOn w:val="Zadanifontodlomka"/>
    <w:rsid w:val="00475C3C"/>
  </w:style>
  <w:style w:type="paragraph" w:styleId="Revizija">
    <w:name w:val="Revision"/>
    <w:hidden/>
    <w:uiPriority w:val="99"/>
    <w:semiHidden/>
    <w:rsid w:val="00091130"/>
  </w:style>
  <w:style w:type="table" w:customStyle="1" w:styleId="TableGrid2">
    <w:name w:val="Table Grid2"/>
    <w:basedOn w:val="Obinatablica"/>
    <w:next w:val="Reetkatablice"/>
    <w:uiPriority w:val="39"/>
    <w:rsid w:val="006F7FE4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icaslika">
    <w:name w:val="table of figures"/>
    <w:basedOn w:val="Normal"/>
    <w:next w:val="Normal"/>
    <w:uiPriority w:val="99"/>
    <w:unhideWhenUsed/>
    <w:rsid w:val="007B7B70"/>
    <w:pPr>
      <w:spacing w:after="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36881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3688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36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F5B9-B390-4896-B3BF-53FB2076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43</Pages>
  <Words>16770</Words>
  <Characters>95593</Characters>
  <Application>Microsoft Office Word</Application>
  <DocSecurity>0</DocSecurity>
  <Lines>796</Lines>
  <Paragraphs>224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mpolic</dc:creator>
  <cp:keywords/>
  <dc:description/>
  <cp:lastModifiedBy>mzivic@ctr.hr</cp:lastModifiedBy>
  <cp:revision>5</cp:revision>
  <dcterms:created xsi:type="dcterms:W3CDTF">2021-10-12T13:07:00Z</dcterms:created>
  <dcterms:modified xsi:type="dcterms:W3CDTF">2021-10-15T06:29:00Z</dcterms:modified>
</cp:coreProperties>
</file>