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6A7B" w14:textId="19626521" w:rsidR="001E3AE2" w:rsidRPr="001D76EE" w:rsidRDefault="001E3AE2" w:rsidP="001E3AE2">
      <w:pPr>
        <w:rPr>
          <w:rFonts w:ascii="Times New Roman" w:hAnsi="Times New Roman" w:cs="Times New Roman"/>
          <w:b/>
          <w:bCs/>
          <w:sz w:val="28"/>
          <w:szCs w:val="28"/>
        </w:rPr>
      </w:pPr>
      <w:r w:rsidRPr="001D76EE">
        <w:rPr>
          <w:rFonts w:ascii="Times New Roman" w:hAnsi="Times New Roman" w:cs="Times New Roman"/>
          <w:b/>
          <w:bCs/>
          <w:sz w:val="28"/>
          <w:szCs w:val="28"/>
        </w:rPr>
        <w:t>Indeksni nizovi kupoprodajnih cijena nekretnina od 2015. do 202</w:t>
      </w:r>
      <w:r w:rsidR="008845EA" w:rsidRPr="001D76EE">
        <w:rPr>
          <w:rFonts w:ascii="Times New Roman" w:hAnsi="Times New Roman" w:cs="Times New Roman"/>
          <w:b/>
          <w:bCs/>
          <w:sz w:val="28"/>
          <w:szCs w:val="28"/>
        </w:rPr>
        <w:t>5</w:t>
      </w:r>
      <w:r w:rsidRPr="001D76EE">
        <w:rPr>
          <w:rFonts w:ascii="Times New Roman" w:hAnsi="Times New Roman" w:cs="Times New Roman"/>
          <w:b/>
          <w:bCs/>
          <w:sz w:val="28"/>
          <w:szCs w:val="28"/>
        </w:rPr>
        <w:t>. godine za područje Brodsko-posavske županije</w:t>
      </w:r>
    </w:p>
    <w:p w14:paraId="4EAA23BC" w14:textId="3AE12820" w:rsidR="00830848" w:rsidRPr="001D76EE" w:rsidRDefault="001E3AE2" w:rsidP="00852ABB">
      <w:pPr>
        <w:jc w:val="both"/>
        <w:rPr>
          <w:rFonts w:ascii="Times New Roman" w:hAnsi="Times New Roman" w:cs="Times New Roman"/>
        </w:rPr>
      </w:pPr>
      <w:r w:rsidRPr="001D76EE">
        <w:rPr>
          <w:rFonts w:ascii="Times New Roman" w:hAnsi="Times New Roman" w:cs="Times New Roman"/>
        </w:rPr>
        <w:t xml:space="preserve">Sukladno odredbi članka 12. stavka 1. točke 1. Zakona o procjeni vrijednosti nekretnina (NN 78/15), Procjeniteljsko povjerenstvo za tržište nekretnina za područje Brodsko-posavske županije, na sjednici održanoj </w:t>
      </w:r>
      <w:r w:rsidR="008845EA" w:rsidRPr="001D76EE">
        <w:rPr>
          <w:rFonts w:ascii="Times New Roman" w:hAnsi="Times New Roman" w:cs="Times New Roman"/>
        </w:rPr>
        <w:t>30</w:t>
      </w:r>
      <w:r w:rsidR="00194AB5" w:rsidRPr="001D76EE">
        <w:rPr>
          <w:rFonts w:ascii="Times New Roman" w:hAnsi="Times New Roman" w:cs="Times New Roman"/>
        </w:rPr>
        <w:t xml:space="preserve">. </w:t>
      </w:r>
      <w:r w:rsidR="008845EA" w:rsidRPr="001D76EE">
        <w:rPr>
          <w:rFonts w:ascii="Times New Roman" w:hAnsi="Times New Roman" w:cs="Times New Roman"/>
        </w:rPr>
        <w:t>siječnja</w:t>
      </w:r>
      <w:r w:rsidR="00194AB5" w:rsidRPr="001D76EE">
        <w:rPr>
          <w:rFonts w:ascii="Times New Roman" w:hAnsi="Times New Roman" w:cs="Times New Roman"/>
        </w:rPr>
        <w:t xml:space="preserve"> </w:t>
      </w:r>
      <w:r w:rsidRPr="001D76EE">
        <w:rPr>
          <w:rFonts w:ascii="Times New Roman" w:hAnsi="Times New Roman" w:cs="Times New Roman"/>
        </w:rPr>
        <w:t>202</w:t>
      </w:r>
      <w:r w:rsidR="008978B0" w:rsidRPr="001D76EE">
        <w:rPr>
          <w:rFonts w:ascii="Times New Roman" w:hAnsi="Times New Roman" w:cs="Times New Roman"/>
        </w:rPr>
        <w:t>5</w:t>
      </w:r>
      <w:r w:rsidRPr="001D76EE">
        <w:rPr>
          <w:rFonts w:ascii="Times New Roman" w:hAnsi="Times New Roman" w:cs="Times New Roman"/>
        </w:rPr>
        <w:t>. godine (KLASA: 364-0</w:t>
      </w:r>
      <w:r w:rsidR="008845EA" w:rsidRPr="001D76EE">
        <w:rPr>
          <w:rFonts w:ascii="Times New Roman" w:hAnsi="Times New Roman" w:cs="Times New Roman"/>
        </w:rPr>
        <w:t>3</w:t>
      </w:r>
      <w:r w:rsidRPr="001D76EE">
        <w:rPr>
          <w:rFonts w:ascii="Times New Roman" w:hAnsi="Times New Roman" w:cs="Times New Roman"/>
        </w:rPr>
        <w:t>/2</w:t>
      </w:r>
      <w:r w:rsidR="008845EA" w:rsidRPr="001D76EE">
        <w:rPr>
          <w:rFonts w:ascii="Times New Roman" w:hAnsi="Times New Roman" w:cs="Times New Roman"/>
        </w:rPr>
        <w:t>5</w:t>
      </w:r>
      <w:r w:rsidRPr="001D76EE">
        <w:rPr>
          <w:rFonts w:ascii="Times New Roman" w:hAnsi="Times New Roman" w:cs="Times New Roman"/>
        </w:rPr>
        <w:t>-01/</w:t>
      </w:r>
      <w:r w:rsidR="008845EA" w:rsidRPr="001D76EE">
        <w:rPr>
          <w:rFonts w:ascii="Times New Roman" w:hAnsi="Times New Roman" w:cs="Times New Roman"/>
        </w:rPr>
        <w:t>22</w:t>
      </w:r>
      <w:r w:rsidRPr="001D76EE">
        <w:rPr>
          <w:rFonts w:ascii="Times New Roman" w:hAnsi="Times New Roman" w:cs="Times New Roman"/>
        </w:rPr>
        <w:t>, URBROJ: 2178-</w:t>
      </w:r>
      <w:r w:rsidR="008978B0" w:rsidRPr="001D76EE">
        <w:rPr>
          <w:rFonts w:ascii="Times New Roman" w:hAnsi="Times New Roman" w:cs="Times New Roman"/>
        </w:rPr>
        <w:t>03-</w:t>
      </w:r>
      <w:r w:rsidRPr="001D76EE">
        <w:rPr>
          <w:rFonts w:ascii="Times New Roman" w:hAnsi="Times New Roman" w:cs="Times New Roman"/>
        </w:rPr>
        <w:t>0</w:t>
      </w:r>
      <w:r w:rsidR="00194AB5" w:rsidRPr="001D76EE">
        <w:rPr>
          <w:rFonts w:ascii="Times New Roman" w:hAnsi="Times New Roman" w:cs="Times New Roman"/>
        </w:rPr>
        <w:t>2</w:t>
      </w:r>
      <w:r w:rsidRPr="001D76EE">
        <w:rPr>
          <w:rFonts w:ascii="Times New Roman" w:hAnsi="Times New Roman" w:cs="Times New Roman"/>
        </w:rPr>
        <w:t>/</w:t>
      </w:r>
      <w:r w:rsidR="008845EA" w:rsidRPr="001D76EE">
        <w:rPr>
          <w:rFonts w:ascii="Times New Roman" w:hAnsi="Times New Roman" w:cs="Times New Roman"/>
        </w:rPr>
        <w:t>17</w:t>
      </w:r>
      <w:r w:rsidRPr="001D76EE">
        <w:rPr>
          <w:rFonts w:ascii="Times New Roman" w:hAnsi="Times New Roman" w:cs="Times New Roman"/>
        </w:rPr>
        <w:t>-2</w:t>
      </w:r>
      <w:r w:rsidR="008845EA" w:rsidRPr="001D76EE">
        <w:rPr>
          <w:rFonts w:ascii="Times New Roman" w:hAnsi="Times New Roman" w:cs="Times New Roman"/>
        </w:rPr>
        <w:t>6</w:t>
      </w:r>
      <w:r w:rsidRPr="001D76EE">
        <w:rPr>
          <w:rFonts w:ascii="Times New Roman" w:hAnsi="Times New Roman" w:cs="Times New Roman"/>
        </w:rPr>
        <w:t>-</w:t>
      </w:r>
      <w:r w:rsidR="008845EA" w:rsidRPr="001D76EE">
        <w:rPr>
          <w:rFonts w:ascii="Times New Roman" w:hAnsi="Times New Roman" w:cs="Times New Roman"/>
        </w:rPr>
        <w:t>24</w:t>
      </w:r>
      <w:r w:rsidRPr="001D76EE">
        <w:rPr>
          <w:rFonts w:ascii="Times New Roman" w:hAnsi="Times New Roman" w:cs="Times New Roman"/>
        </w:rPr>
        <w:t>)</w:t>
      </w:r>
      <w:r w:rsidR="008978B0" w:rsidRPr="001D76EE">
        <w:rPr>
          <w:rFonts w:ascii="Times New Roman" w:hAnsi="Times New Roman" w:cs="Times New Roman"/>
        </w:rPr>
        <w:t xml:space="preserve"> razmotrilo je </w:t>
      </w:r>
      <w:r w:rsidR="008845EA" w:rsidRPr="001D76EE">
        <w:rPr>
          <w:rFonts w:ascii="Times New Roman" w:hAnsi="Times New Roman" w:cs="Times New Roman"/>
        </w:rPr>
        <w:t xml:space="preserve">i </w:t>
      </w:r>
      <w:r w:rsidRPr="001D76EE">
        <w:rPr>
          <w:rFonts w:ascii="Times New Roman" w:hAnsi="Times New Roman" w:cs="Times New Roman"/>
        </w:rPr>
        <w:t>prihvatilo Indeksne nizove kupoprodajnih cijena nekretnina od 2015. do 202</w:t>
      </w:r>
      <w:r w:rsidR="008845EA" w:rsidRPr="001D76EE">
        <w:rPr>
          <w:rFonts w:ascii="Times New Roman" w:hAnsi="Times New Roman" w:cs="Times New Roman"/>
        </w:rPr>
        <w:t>5</w:t>
      </w:r>
      <w:r w:rsidRPr="001D76EE">
        <w:rPr>
          <w:rFonts w:ascii="Times New Roman" w:hAnsi="Times New Roman" w:cs="Times New Roman"/>
        </w:rPr>
        <w:t>. godine za područje Brodsko- posavske županije.</w:t>
      </w:r>
    </w:p>
    <w:p w14:paraId="252B280B" w14:textId="77777777" w:rsidR="001E7D8E" w:rsidRDefault="001E7D8E" w:rsidP="001E3AE2"/>
    <w:tbl>
      <w:tblPr>
        <w:tblStyle w:val="Reetkatablice"/>
        <w:tblpPr w:leftFromText="180" w:rightFromText="180" w:vertAnchor="text" w:horzAnchor="margin" w:tblpXSpec="center" w:tblpY="389"/>
        <w:tblW w:w="5000" w:type="pct"/>
        <w:tblLook w:val="04A0" w:firstRow="1" w:lastRow="0" w:firstColumn="1" w:lastColumn="0" w:noHBand="0" w:noVBand="1"/>
      </w:tblPr>
      <w:tblGrid>
        <w:gridCol w:w="2589"/>
        <w:gridCol w:w="1036"/>
        <w:gridCol w:w="1036"/>
        <w:gridCol w:w="1036"/>
        <w:gridCol w:w="1038"/>
        <w:gridCol w:w="1038"/>
        <w:gridCol w:w="1038"/>
        <w:gridCol w:w="1038"/>
        <w:gridCol w:w="1038"/>
        <w:gridCol w:w="1041"/>
        <w:gridCol w:w="1036"/>
        <w:gridCol w:w="1030"/>
      </w:tblGrid>
      <w:tr w:rsidR="001B62F7" w:rsidRPr="0078760B" w14:paraId="4A4336DC" w14:textId="77777777" w:rsidTr="00F9437E">
        <w:trPr>
          <w:trHeight w:val="699"/>
        </w:trPr>
        <w:tc>
          <w:tcPr>
            <w:tcW w:w="5000" w:type="pct"/>
            <w:gridSpan w:val="12"/>
            <w:shd w:val="clear" w:color="auto" w:fill="A8D08D" w:themeFill="accent6" w:themeFillTint="99"/>
          </w:tcPr>
          <w:p w14:paraId="4A197429" w14:textId="77777777" w:rsidR="001B62F7" w:rsidRPr="0078760B" w:rsidRDefault="001B62F7" w:rsidP="00F9437E">
            <w:pPr>
              <w:jc w:val="center"/>
              <w:rPr>
                <w:rFonts w:ascii="Times New Roman" w:hAnsi="Times New Roman" w:cs="Times New Roman"/>
                <w:b/>
                <w:bCs/>
                <w:color w:val="000000" w:themeColor="text1"/>
                <w:sz w:val="24"/>
                <w:szCs w:val="24"/>
              </w:rPr>
            </w:pPr>
          </w:p>
          <w:p w14:paraId="4D8A35EA" w14:textId="107BA208" w:rsidR="001B62F7" w:rsidRPr="0078760B" w:rsidRDefault="001B62F7" w:rsidP="00F9437E">
            <w:pPr>
              <w:jc w:val="center"/>
              <w:rPr>
                <w:rFonts w:ascii="Times New Roman" w:hAnsi="Times New Roman" w:cs="Times New Roman"/>
                <w:b/>
                <w:bCs/>
                <w:color w:val="000000" w:themeColor="text1"/>
                <w:sz w:val="24"/>
                <w:szCs w:val="24"/>
              </w:rPr>
            </w:pPr>
            <w:r w:rsidRPr="0078760B">
              <w:rPr>
                <w:rFonts w:ascii="Times New Roman" w:hAnsi="Times New Roman" w:cs="Times New Roman"/>
                <w:b/>
                <w:bCs/>
                <w:color w:val="000000" w:themeColor="text1"/>
                <w:sz w:val="24"/>
                <w:szCs w:val="24"/>
              </w:rPr>
              <w:t xml:space="preserve">INDEKSNI NIZOVI – </w:t>
            </w:r>
            <w:r w:rsidRPr="0078760B">
              <w:rPr>
                <w:rFonts w:ascii="Times New Roman" w:hAnsi="Times New Roman" w:cs="Times New Roman"/>
                <w:b/>
              </w:rPr>
              <w:t xml:space="preserve"> </w:t>
            </w:r>
            <w:r w:rsidR="001D76EE">
              <w:rPr>
                <w:rFonts w:ascii="Times New Roman" w:hAnsi="Times New Roman" w:cs="Times New Roman"/>
                <w:b/>
              </w:rPr>
              <w:t>BRODSKO-POSAVSKA ŽUPANIJA</w:t>
            </w:r>
          </w:p>
        </w:tc>
      </w:tr>
      <w:tr w:rsidR="001B62F7" w:rsidRPr="0078760B" w14:paraId="641F4F4F" w14:textId="77777777" w:rsidTr="00F9437E">
        <w:trPr>
          <w:trHeight w:val="552"/>
        </w:trPr>
        <w:tc>
          <w:tcPr>
            <w:tcW w:w="925" w:type="pct"/>
            <w:vMerge w:val="restart"/>
            <w:shd w:val="clear" w:color="auto" w:fill="A8D08D" w:themeFill="accent6" w:themeFillTint="99"/>
          </w:tcPr>
          <w:p w14:paraId="0F9C827F" w14:textId="77777777" w:rsidR="001B62F7" w:rsidRPr="0078760B" w:rsidRDefault="001B62F7" w:rsidP="00F9437E">
            <w:pPr>
              <w:rPr>
                <w:rFonts w:ascii="Times New Roman" w:hAnsi="Times New Roman" w:cs="Times New Roman"/>
                <w:sz w:val="24"/>
                <w:szCs w:val="24"/>
              </w:rPr>
            </w:pPr>
          </w:p>
          <w:p w14:paraId="0246FD2F" w14:textId="77777777" w:rsidR="001B62F7" w:rsidRPr="0078760B" w:rsidRDefault="001B62F7" w:rsidP="00F9437E">
            <w:pPr>
              <w:rPr>
                <w:rFonts w:ascii="Times New Roman" w:hAnsi="Times New Roman" w:cs="Times New Roman"/>
                <w:sz w:val="24"/>
                <w:szCs w:val="24"/>
              </w:rPr>
            </w:pPr>
            <w:r w:rsidRPr="0078760B">
              <w:rPr>
                <w:rFonts w:ascii="Times New Roman" w:hAnsi="Times New Roman" w:cs="Times New Roman"/>
                <w:sz w:val="24"/>
                <w:szCs w:val="24"/>
              </w:rPr>
              <w:t xml:space="preserve">Vrsta </w:t>
            </w:r>
          </w:p>
          <w:p w14:paraId="786BACA4" w14:textId="77777777" w:rsidR="001B62F7" w:rsidRPr="0078760B" w:rsidRDefault="001B62F7" w:rsidP="00F9437E">
            <w:pPr>
              <w:rPr>
                <w:rFonts w:ascii="Times New Roman" w:hAnsi="Times New Roman" w:cs="Times New Roman"/>
              </w:rPr>
            </w:pPr>
            <w:r w:rsidRPr="0078760B">
              <w:rPr>
                <w:rFonts w:ascii="Times New Roman" w:hAnsi="Times New Roman" w:cs="Times New Roman"/>
                <w:sz w:val="24"/>
                <w:szCs w:val="24"/>
              </w:rPr>
              <w:t>nekretnine</w:t>
            </w:r>
          </w:p>
        </w:tc>
        <w:tc>
          <w:tcPr>
            <w:tcW w:w="4075" w:type="pct"/>
            <w:gridSpan w:val="11"/>
            <w:shd w:val="clear" w:color="auto" w:fill="C5E0B3" w:themeFill="accent6" w:themeFillTint="66"/>
          </w:tcPr>
          <w:p w14:paraId="55CB151A" w14:textId="77777777" w:rsidR="001B62F7" w:rsidRPr="007738DA" w:rsidRDefault="001B62F7" w:rsidP="00F9437E">
            <w:pPr>
              <w:jc w:val="center"/>
              <w:rPr>
                <w:rFonts w:ascii="Times New Roman" w:hAnsi="Times New Roman" w:cs="Times New Roman"/>
                <w:b/>
                <w:bCs/>
                <w:sz w:val="24"/>
                <w:szCs w:val="24"/>
              </w:rPr>
            </w:pPr>
          </w:p>
          <w:p w14:paraId="6AF56B39" w14:textId="77777777" w:rsidR="001B62F7" w:rsidRPr="007738DA" w:rsidRDefault="001B62F7" w:rsidP="00F9437E">
            <w:pPr>
              <w:jc w:val="center"/>
              <w:rPr>
                <w:rFonts w:ascii="Times New Roman" w:hAnsi="Times New Roman" w:cs="Times New Roman"/>
                <w:sz w:val="24"/>
                <w:szCs w:val="24"/>
              </w:rPr>
            </w:pPr>
            <w:r w:rsidRPr="007738DA">
              <w:rPr>
                <w:rFonts w:ascii="Times New Roman" w:hAnsi="Times New Roman" w:cs="Times New Roman"/>
                <w:b/>
                <w:bCs/>
                <w:sz w:val="24"/>
                <w:szCs w:val="24"/>
              </w:rPr>
              <w:t>GODINA</w:t>
            </w:r>
          </w:p>
        </w:tc>
      </w:tr>
      <w:tr w:rsidR="001B62F7" w:rsidRPr="0078760B" w14:paraId="4ACEA8F5" w14:textId="77777777" w:rsidTr="00F9437E">
        <w:trPr>
          <w:trHeight w:val="542"/>
        </w:trPr>
        <w:tc>
          <w:tcPr>
            <w:tcW w:w="925" w:type="pct"/>
            <w:vMerge/>
            <w:shd w:val="clear" w:color="auto" w:fill="A8D08D" w:themeFill="accent6" w:themeFillTint="99"/>
          </w:tcPr>
          <w:p w14:paraId="20326F3B" w14:textId="77777777" w:rsidR="001B62F7" w:rsidRPr="0078760B" w:rsidRDefault="001B62F7" w:rsidP="00F9437E">
            <w:pPr>
              <w:rPr>
                <w:rFonts w:ascii="Times New Roman" w:hAnsi="Times New Roman" w:cs="Times New Roman"/>
                <w:sz w:val="24"/>
                <w:szCs w:val="24"/>
              </w:rPr>
            </w:pPr>
          </w:p>
        </w:tc>
        <w:tc>
          <w:tcPr>
            <w:tcW w:w="370" w:type="pct"/>
            <w:tcBorders>
              <w:bottom w:val="single" w:sz="4" w:space="0" w:color="auto"/>
            </w:tcBorders>
            <w:shd w:val="clear" w:color="auto" w:fill="C5E0B3" w:themeFill="accent6" w:themeFillTint="66"/>
          </w:tcPr>
          <w:p w14:paraId="49E1E2A1" w14:textId="77777777" w:rsidR="001B62F7" w:rsidRPr="0078760B" w:rsidRDefault="001B62F7" w:rsidP="00F9437E">
            <w:pPr>
              <w:jc w:val="center"/>
              <w:rPr>
                <w:rFonts w:ascii="Times New Roman" w:hAnsi="Times New Roman" w:cs="Times New Roman"/>
                <w:sz w:val="24"/>
                <w:szCs w:val="24"/>
              </w:rPr>
            </w:pPr>
          </w:p>
          <w:p w14:paraId="79C01D2A"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2015</w:t>
            </w:r>
          </w:p>
        </w:tc>
        <w:tc>
          <w:tcPr>
            <w:tcW w:w="370" w:type="pct"/>
            <w:tcBorders>
              <w:bottom w:val="single" w:sz="4" w:space="0" w:color="auto"/>
            </w:tcBorders>
            <w:shd w:val="clear" w:color="auto" w:fill="C5E0B3" w:themeFill="accent6" w:themeFillTint="66"/>
          </w:tcPr>
          <w:p w14:paraId="5A2BDCED" w14:textId="77777777" w:rsidR="001B62F7" w:rsidRPr="0078760B" w:rsidRDefault="001B62F7" w:rsidP="00F9437E">
            <w:pPr>
              <w:jc w:val="center"/>
              <w:rPr>
                <w:rFonts w:ascii="Times New Roman" w:hAnsi="Times New Roman" w:cs="Times New Roman"/>
                <w:sz w:val="24"/>
                <w:szCs w:val="24"/>
              </w:rPr>
            </w:pPr>
          </w:p>
          <w:p w14:paraId="5FC755EC"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2016</w:t>
            </w:r>
          </w:p>
        </w:tc>
        <w:tc>
          <w:tcPr>
            <w:tcW w:w="370" w:type="pct"/>
            <w:tcBorders>
              <w:bottom w:val="single" w:sz="4" w:space="0" w:color="auto"/>
            </w:tcBorders>
            <w:shd w:val="clear" w:color="auto" w:fill="C5E0B3" w:themeFill="accent6" w:themeFillTint="66"/>
          </w:tcPr>
          <w:p w14:paraId="7D38392A" w14:textId="77777777" w:rsidR="001B62F7" w:rsidRPr="0078760B" w:rsidRDefault="001B62F7" w:rsidP="00F9437E">
            <w:pPr>
              <w:jc w:val="center"/>
              <w:rPr>
                <w:rFonts w:ascii="Times New Roman" w:hAnsi="Times New Roman" w:cs="Times New Roman"/>
                <w:sz w:val="24"/>
                <w:szCs w:val="24"/>
              </w:rPr>
            </w:pPr>
          </w:p>
          <w:p w14:paraId="70F5F8D1"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2017</w:t>
            </w:r>
          </w:p>
          <w:p w14:paraId="27574DCF" w14:textId="77777777" w:rsidR="001B62F7" w:rsidRPr="0078760B" w:rsidRDefault="001B62F7" w:rsidP="00F9437E">
            <w:pPr>
              <w:jc w:val="center"/>
              <w:rPr>
                <w:rFonts w:ascii="Times New Roman" w:hAnsi="Times New Roman" w:cs="Times New Roman"/>
                <w:sz w:val="24"/>
                <w:szCs w:val="24"/>
              </w:rPr>
            </w:pPr>
          </w:p>
        </w:tc>
        <w:tc>
          <w:tcPr>
            <w:tcW w:w="371" w:type="pct"/>
            <w:tcBorders>
              <w:bottom w:val="single" w:sz="4" w:space="0" w:color="auto"/>
            </w:tcBorders>
            <w:shd w:val="clear" w:color="auto" w:fill="C5E0B3" w:themeFill="accent6" w:themeFillTint="66"/>
          </w:tcPr>
          <w:p w14:paraId="5B50B69E" w14:textId="77777777" w:rsidR="001B62F7" w:rsidRPr="0078760B" w:rsidRDefault="001B62F7" w:rsidP="00F9437E">
            <w:pPr>
              <w:jc w:val="center"/>
              <w:rPr>
                <w:rFonts w:ascii="Times New Roman" w:hAnsi="Times New Roman" w:cs="Times New Roman"/>
                <w:sz w:val="24"/>
                <w:szCs w:val="24"/>
              </w:rPr>
            </w:pPr>
          </w:p>
          <w:p w14:paraId="427AC2FC"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2018</w:t>
            </w:r>
          </w:p>
        </w:tc>
        <w:tc>
          <w:tcPr>
            <w:tcW w:w="371" w:type="pct"/>
            <w:tcBorders>
              <w:bottom w:val="single" w:sz="4" w:space="0" w:color="auto"/>
            </w:tcBorders>
            <w:shd w:val="clear" w:color="auto" w:fill="C5E0B3" w:themeFill="accent6" w:themeFillTint="66"/>
          </w:tcPr>
          <w:p w14:paraId="7A97137D" w14:textId="77777777" w:rsidR="001B62F7" w:rsidRPr="0078760B" w:rsidRDefault="001B62F7" w:rsidP="00F9437E">
            <w:pPr>
              <w:jc w:val="center"/>
              <w:rPr>
                <w:rFonts w:ascii="Times New Roman" w:hAnsi="Times New Roman" w:cs="Times New Roman"/>
                <w:sz w:val="24"/>
                <w:szCs w:val="24"/>
              </w:rPr>
            </w:pPr>
          </w:p>
          <w:p w14:paraId="10D3895D"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2019</w:t>
            </w:r>
          </w:p>
        </w:tc>
        <w:tc>
          <w:tcPr>
            <w:tcW w:w="371" w:type="pct"/>
            <w:tcBorders>
              <w:bottom w:val="single" w:sz="4" w:space="0" w:color="auto"/>
            </w:tcBorders>
            <w:shd w:val="clear" w:color="auto" w:fill="C5E0B3" w:themeFill="accent6" w:themeFillTint="66"/>
          </w:tcPr>
          <w:p w14:paraId="1E497E71" w14:textId="77777777" w:rsidR="001B62F7" w:rsidRPr="0078760B" w:rsidRDefault="001B62F7" w:rsidP="00F9437E">
            <w:pPr>
              <w:jc w:val="center"/>
              <w:rPr>
                <w:rFonts w:ascii="Times New Roman" w:hAnsi="Times New Roman" w:cs="Times New Roman"/>
                <w:sz w:val="24"/>
                <w:szCs w:val="24"/>
              </w:rPr>
            </w:pPr>
          </w:p>
          <w:p w14:paraId="04847DBC"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2020</w:t>
            </w:r>
          </w:p>
        </w:tc>
        <w:tc>
          <w:tcPr>
            <w:tcW w:w="371" w:type="pct"/>
            <w:tcBorders>
              <w:bottom w:val="single" w:sz="4" w:space="0" w:color="auto"/>
            </w:tcBorders>
            <w:shd w:val="clear" w:color="auto" w:fill="C5E0B3" w:themeFill="accent6" w:themeFillTint="66"/>
          </w:tcPr>
          <w:p w14:paraId="69D8501D" w14:textId="77777777" w:rsidR="001B62F7" w:rsidRPr="0078760B" w:rsidRDefault="001B62F7" w:rsidP="00F9437E">
            <w:pPr>
              <w:jc w:val="center"/>
              <w:rPr>
                <w:rFonts w:ascii="Times New Roman" w:hAnsi="Times New Roman" w:cs="Times New Roman"/>
                <w:sz w:val="24"/>
                <w:szCs w:val="24"/>
              </w:rPr>
            </w:pPr>
          </w:p>
          <w:p w14:paraId="2A8658EE"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2021</w:t>
            </w:r>
          </w:p>
        </w:tc>
        <w:tc>
          <w:tcPr>
            <w:tcW w:w="371" w:type="pct"/>
            <w:tcBorders>
              <w:bottom w:val="single" w:sz="4" w:space="0" w:color="auto"/>
            </w:tcBorders>
            <w:shd w:val="clear" w:color="auto" w:fill="C5E0B3" w:themeFill="accent6" w:themeFillTint="66"/>
          </w:tcPr>
          <w:p w14:paraId="7F0E679E" w14:textId="77777777" w:rsidR="001B62F7" w:rsidRPr="0078760B" w:rsidRDefault="001B62F7" w:rsidP="00F9437E">
            <w:pPr>
              <w:jc w:val="center"/>
              <w:rPr>
                <w:rFonts w:ascii="Times New Roman" w:hAnsi="Times New Roman" w:cs="Times New Roman"/>
                <w:sz w:val="24"/>
                <w:szCs w:val="24"/>
              </w:rPr>
            </w:pPr>
          </w:p>
          <w:p w14:paraId="66AA0B56"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2022</w:t>
            </w:r>
          </w:p>
        </w:tc>
        <w:tc>
          <w:tcPr>
            <w:tcW w:w="372" w:type="pct"/>
            <w:tcBorders>
              <w:bottom w:val="single" w:sz="4" w:space="0" w:color="auto"/>
            </w:tcBorders>
            <w:shd w:val="clear" w:color="auto" w:fill="C5E0B3" w:themeFill="accent6" w:themeFillTint="66"/>
          </w:tcPr>
          <w:p w14:paraId="2481D4A9" w14:textId="77777777" w:rsidR="001B62F7" w:rsidRPr="0078760B" w:rsidRDefault="001B62F7" w:rsidP="00F9437E">
            <w:pPr>
              <w:jc w:val="center"/>
              <w:rPr>
                <w:rFonts w:ascii="Times New Roman" w:hAnsi="Times New Roman" w:cs="Times New Roman"/>
                <w:sz w:val="24"/>
                <w:szCs w:val="24"/>
              </w:rPr>
            </w:pPr>
          </w:p>
          <w:p w14:paraId="23C818E2"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2023</w:t>
            </w:r>
          </w:p>
        </w:tc>
        <w:tc>
          <w:tcPr>
            <w:tcW w:w="370" w:type="pct"/>
            <w:tcBorders>
              <w:bottom w:val="single" w:sz="4" w:space="0" w:color="auto"/>
            </w:tcBorders>
            <w:shd w:val="clear" w:color="auto" w:fill="C5E0B3" w:themeFill="accent6" w:themeFillTint="66"/>
          </w:tcPr>
          <w:p w14:paraId="4E6F6680" w14:textId="77777777" w:rsidR="001B62F7" w:rsidRPr="0078760B" w:rsidRDefault="001B62F7" w:rsidP="00F9437E">
            <w:pPr>
              <w:jc w:val="center"/>
              <w:rPr>
                <w:rFonts w:ascii="Times New Roman" w:hAnsi="Times New Roman" w:cs="Times New Roman"/>
                <w:sz w:val="24"/>
                <w:szCs w:val="24"/>
              </w:rPr>
            </w:pPr>
          </w:p>
          <w:p w14:paraId="22BC1285"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202</w:t>
            </w:r>
            <w:r>
              <w:rPr>
                <w:rFonts w:ascii="Times New Roman" w:hAnsi="Times New Roman" w:cs="Times New Roman"/>
                <w:sz w:val="24"/>
                <w:szCs w:val="24"/>
              </w:rPr>
              <w:t>4</w:t>
            </w:r>
          </w:p>
        </w:tc>
        <w:tc>
          <w:tcPr>
            <w:tcW w:w="368" w:type="pct"/>
            <w:tcBorders>
              <w:bottom w:val="single" w:sz="4" w:space="0" w:color="auto"/>
            </w:tcBorders>
            <w:shd w:val="clear" w:color="auto" w:fill="C5E0B3" w:themeFill="accent6" w:themeFillTint="66"/>
          </w:tcPr>
          <w:p w14:paraId="241F3FE0" w14:textId="77777777" w:rsidR="001B62F7" w:rsidRPr="0078760B" w:rsidRDefault="001B62F7" w:rsidP="00F9437E">
            <w:pPr>
              <w:jc w:val="center"/>
              <w:rPr>
                <w:rFonts w:ascii="Times New Roman" w:hAnsi="Times New Roman" w:cs="Times New Roman"/>
                <w:sz w:val="24"/>
                <w:szCs w:val="24"/>
              </w:rPr>
            </w:pPr>
          </w:p>
          <w:p w14:paraId="5DE239C2" w14:textId="77777777" w:rsidR="001B62F7" w:rsidRPr="0078760B" w:rsidRDefault="001B62F7" w:rsidP="00F9437E">
            <w:pPr>
              <w:jc w:val="center"/>
              <w:rPr>
                <w:rFonts w:ascii="Times New Roman" w:hAnsi="Times New Roman" w:cs="Times New Roman"/>
                <w:sz w:val="24"/>
                <w:szCs w:val="24"/>
              </w:rPr>
            </w:pPr>
            <w:r w:rsidRPr="0078760B">
              <w:rPr>
                <w:rFonts w:ascii="Times New Roman" w:hAnsi="Times New Roman" w:cs="Times New Roman"/>
                <w:sz w:val="24"/>
                <w:szCs w:val="24"/>
              </w:rPr>
              <w:t>202</w:t>
            </w:r>
            <w:r>
              <w:rPr>
                <w:rFonts w:ascii="Times New Roman" w:hAnsi="Times New Roman" w:cs="Times New Roman"/>
                <w:sz w:val="24"/>
                <w:szCs w:val="24"/>
              </w:rPr>
              <w:t>5</w:t>
            </w:r>
          </w:p>
        </w:tc>
      </w:tr>
      <w:tr w:rsidR="001B62F7" w:rsidRPr="0078760B" w14:paraId="1EBC2B23" w14:textId="77777777" w:rsidTr="00F9437E">
        <w:trPr>
          <w:trHeight w:val="711"/>
        </w:trPr>
        <w:tc>
          <w:tcPr>
            <w:tcW w:w="925" w:type="pct"/>
            <w:shd w:val="clear" w:color="auto" w:fill="E2EFD9" w:themeFill="accent6" w:themeFillTint="33"/>
          </w:tcPr>
          <w:p w14:paraId="7534A4E7" w14:textId="77777777" w:rsidR="001B62F7" w:rsidRPr="0078760B" w:rsidRDefault="001B62F7" w:rsidP="00F9437E">
            <w:pPr>
              <w:rPr>
                <w:rFonts w:ascii="Times New Roman" w:hAnsi="Times New Roman" w:cs="Times New Roman"/>
                <w:i/>
                <w:iCs/>
                <w:sz w:val="20"/>
                <w:szCs w:val="20"/>
              </w:rPr>
            </w:pPr>
          </w:p>
          <w:p w14:paraId="7FA73351" w14:textId="77777777" w:rsidR="001B62F7" w:rsidRPr="0078760B" w:rsidRDefault="001B62F7" w:rsidP="00F9437E">
            <w:pPr>
              <w:rPr>
                <w:rFonts w:ascii="Times New Roman" w:hAnsi="Times New Roman" w:cs="Times New Roman"/>
                <w:i/>
                <w:iCs/>
                <w:sz w:val="20"/>
                <w:szCs w:val="20"/>
              </w:rPr>
            </w:pPr>
            <w:r w:rsidRPr="0078760B">
              <w:rPr>
                <w:rFonts w:ascii="Times New Roman" w:hAnsi="Times New Roman" w:cs="Times New Roman"/>
                <w:i/>
                <w:iCs/>
                <w:sz w:val="20"/>
                <w:szCs w:val="20"/>
              </w:rPr>
              <w:t>Građevinsko zemljište</w:t>
            </w:r>
          </w:p>
        </w:tc>
        <w:tc>
          <w:tcPr>
            <w:tcW w:w="370" w:type="pct"/>
            <w:tcBorders>
              <w:top w:val="single" w:sz="4" w:space="0" w:color="auto"/>
              <w:left w:val="single" w:sz="4" w:space="0" w:color="auto"/>
              <w:bottom w:val="single" w:sz="4" w:space="0" w:color="auto"/>
              <w:right w:val="single" w:sz="4" w:space="0" w:color="auto"/>
            </w:tcBorders>
            <w:vAlign w:val="bottom"/>
          </w:tcPr>
          <w:p w14:paraId="4C689EF0"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100,00</w:t>
            </w:r>
          </w:p>
        </w:tc>
        <w:tc>
          <w:tcPr>
            <w:tcW w:w="370" w:type="pct"/>
            <w:tcBorders>
              <w:top w:val="single" w:sz="4" w:space="0" w:color="auto"/>
              <w:left w:val="nil"/>
              <w:bottom w:val="single" w:sz="4" w:space="0" w:color="auto"/>
              <w:right w:val="single" w:sz="4" w:space="0" w:color="auto"/>
            </w:tcBorders>
            <w:vAlign w:val="bottom"/>
          </w:tcPr>
          <w:p w14:paraId="64A64868"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104,25</w:t>
            </w:r>
          </w:p>
        </w:tc>
        <w:tc>
          <w:tcPr>
            <w:tcW w:w="370" w:type="pct"/>
            <w:tcBorders>
              <w:top w:val="single" w:sz="4" w:space="0" w:color="auto"/>
              <w:left w:val="nil"/>
              <w:bottom w:val="single" w:sz="4" w:space="0" w:color="auto"/>
              <w:right w:val="single" w:sz="4" w:space="0" w:color="auto"/>
            </w:tcBorders>
            <w:vAlign w:val="bottom"/>
          </w:tcPr>
          <w:p w14:paraId="5A34BB36"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132,88</w:t>
            </w:r>
          </w:p>
        </w:tc>
        <w:tc>
          <w:tcPr>
            <w:tcW w:w="371" w:type="pct"/>
            <w:tcBorders>
              <w:top w:val="single" w:sz="4" w:space="0" w:color="auto"/>
              <w:left w:val="nil"/>
              <w:bottom w:val="single" w:sz="4" w:space="0" w:color="auto"/>
              <w:right w:val="single" w:sz="4" w:space="0" w:color="auto"/>
            </w:tcBorders>
            <w:vAlign w:val="bottom"/>
          </w:tcPr>
          <w:p w14:paraId="33FEE301"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137,23</w:t>
            </w:r>
          </w:p>
        </w:tc>
        <w:tc>
          <w:tcPr>
            <w:tcW w:w="371" w:type="pct"/>
            <w:tcBorders>
              <w:top w:val="single" w:sz="4" w:space="0" w:color="auto"/>
              <w:left w:val="nil"/>
              <w:bottom w:val="single" w:sz="4" w:space="0" w:color="auto"/>
              <w:right w:val="single" w:sz="4" w:space="0" w:color="auto"/>
            </w:tcBorders>
            <w:vAlign w:val="bottom"/>
          </w:tcPr>
          <w:p w14:paraId="545775C7"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115,49</w:t>
            </w:r>
          </w:p>
        </w:tc>
        <w:tc>
          <w:tcPr>
            <w:tcW w:w="371" w:type="pct"/>
            <w:tcBorders>
              <w:top w:val="single" w:sz="4" w:space="0" w:color="auto"/>
              <w:left w:val="nil"/>
              <w:bottom w:val="single" w:sz="4" w:space="0" w:color="auto"/>
              <w:right w:val="single" w:sz="4" w:space="0" w:color="auto"/>
            </w:tcBorders>
            <w:vAlign w:val="bottom"/>
          </w:tcPr>
          <w:p w14:paraId="3A4E3A05"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95,30</w:t>
            </w:r>
          </w:p>
        </w:tc>
        <w:tc>
          <w:tcPr>
            <w:tcW w:w="371" w:type="pct"/>
            <w:tcBorders>
              <w:top w:val="single" w:sz="4" w:space="0" w:color="auto"/>
              <w:left w:val="nil"/>
              <w:bottom w:val="single" w:sz="4" w:space="0" w:color="auto"/>
              <w:right w:val="single" w:sz="4" w:space="0" w:color="auto"/>
            </w:tcBorders>
            <w:vAlign w:val="bottom"/>
          </w:tcPr>
          <w:p w14:paraId="6614ACC7"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114,70</w:t>
            </w:r>
          </w:p>
        </w:tc>
        <w:tc>
          <w:tcPr>
            <w:tcW w:w="371" w:type="pct"/>
            <w:tcBorders>
              <w:top w:val="single" w:sz="4" w:space="0" w:color="auto"/>
              <w:left w:val="nil"/>
              <w:bottom w:val="single" w:sz="4" w:space="0" w:color="auto"/>
              <w:right w:val="single" w:sz="4" w:space="0" w:color="auto"/>
            </w:tcBorders>
            <w:vAlign w:val="bottom"/>
          </w:tcPr>
          <w:p w14:paraId="42353BC3"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104,01</w:t>
            </w:r>
          </w:p>
        </w:tc>
        <w:tc>
          <w:tcPr>
            <w:tcW w:w="372" w:type="pct"/>
            <w:tcBorders>
              <w:top w:val="single" w:sz="4" w:space="0" w:color="auto"/>
              <w:left w:val="nil"/>
              <w:bottom w:val="single" w:sz="4" w:space="0" w:color="auto"/>
              <w:right w:val="single" w:sz="4" w:space="0" w:color="auto"/>
            </w:tcBorders>
            <w:vAlign w:val="bottom"/>
          </w:tcPr>
          <w:p w14:paraId="0F429025"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147,90</w:t>
            </w:r>
          </w:p>
        </w:tc>
        <w:tc>
          <w:tcPr>
            <w:tcW w:w="370" w:type="pct"/>
            <w:tcBorders>
              <w:top w:val="single" w:sz="4" w:space="0" w:color="auto"/>
              <w:left w:val="nil"/>
              <w:bottom w:val="single" w:sz="4" w:space="0" w:color="auto"/>
              <w:right w:val="single" w:sz="4" w:space="0" w:color="auto"/>
            </w:tcBorders>
            <w:vAlign w:val="bottom"/>
          </w:tcPr>
          <w:p w14:paraId="07A088ED"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160,08</w:t>
            </w:r>
          </w:p>
        </w:tc>
        <w:tc>
          <w:tcPr>
            <w:tcW w:w="368" w:type="pct"/>
            <w:tcBorders>
              <w:top w:val="single" w:sz="4" w:space="0" w:color="auto"/>
              <w:left w:val="nil"/>
              <w:bottom w:val="single" w:sz="4" w:space="0" w:color="auto"/>
              <w:right w:val="single" w:sz="4" w:space="0" w:color="auto"/>
            </w:tcBorders>
            <w:vAlign w:val="bottom"/>
          </w:tcPr>
          <w:p w14:paraId="34B1A964"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164,46</w:t>
            </w:r>
          </w:p>
        </w:tc>
      </w:tr>
      <w:tr w:rsidR="001B62F7" w:rsidRPr="0078760B" w14:paraId="7F273DD3" w14:textId="77777777" w:rsidTr="00F9437E">
        <w:trPr>
          <w:trHeight w:val="707"/>
        </w:trPr>
        <w:tc>
          <w:tcPr>
            <w:tcW w:w="925" w:type="pct"/>
            <w:shd w:val="clear" w:color="auto" w:fill="E2EFD9" w:themeFill="accent6" w:themeFillTint="33"/>
          </w:tcPr>
          <w:p w14:paraId="33CF8DF8" w14:textId="77777777" w:rsidR="001B62F7" w:rsidRPr="0078760B" w:rsidRDefault="001B62F7" w:rsidP="00F9437E">
            <w:pPr>
              <w:rPr>
                <w:rFonts w:ascii="Times New Roman" w:hAnsi="Times New Roman" w:cs="Times New Roman"/>
                <w:i/>
                <w:iCs/>
                <w:sz w:val="20"/>
                <w:szCs w:val="20"/>
              </w:rPr>
            </w:pPr>
          </w:p>
          <w:p w14:paraId="3C863C09" w14:textId="77777777" w:rsidR="001B62F7" w:rsidRPr="0078760B" w:rsidRDefault="001B62F7" w:rsidP="00F9437E">
            <w:pPr>
              <w:rPr>
                <w:rFonts w:ascii="Times New Roman" w:hAnsi="Times New Roman" w:cs="Times New Roman"/>
                <w:i/>
                <w:iCs/>
                <w:sz w:val="20"/>
                <w:szCs w:val="20"/>
              </w:rPr>
            </w:pPr>
            <w:r w:rsidRPr="0078760B">
              <w:rPr>
                <w:rFonts w:ascii="Times New Roman" w:hAnsi="Times New Roman" w:cs="Times New Roman"/>
                <w:i/>
                <w:iCs/>
                <w:sz w:val="20"/>
                <w:szCs w:val="20"/>
              </w:rPr>
              <w:t>Poljoprivredno zemljište</w:t>
            </w:r>
          </w:p>
        </w:tc>
        <w:tc>
          <w:tcPr>
            <w:tcW w:w="370" w:type="pct"/>
            <w:tcBorders>
              <w:top w:val="single" w:sz="4" w:space="0" w:color="auto"/>
              <w:left w:val="single" w:sz="4" w:space="0" w:color="auto"/>
              <w:bottom w:val="single" w:sz="4" w:space="0" w:color="auto"/>
              <w:right w:val="single" w:sz="4" w:space="0" w:color="auto"/>
            </w:tcBorders>
            <w:vAlign w:val="bottom"/>
          </w:tcPr>
          <w:p w14:paraId="04B9F00D"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100,00</w:t>
            </w:r>
          </w:p>
        </w:tc>
        <w:tc>
          <w:tcPr>
            <w:tcW w:w="370" w:type="pct"/>
            <w:tcBorders>
              <w:top w:val="single" w:sz="4" w:space="0" w:color="auto"/>
              <w:left w:val="nil"/>
              <w:bottom w:val="single" w:sz="4" w:space="0" w:color="auto"/>
              <w:right w:val="single" w:sz="4" w:space="0" w:color="auto"/>
            </w:tcBorders>
            <w:vAlign w:val="bottom"/>
          </w:tcPr>
          <w:p w14:paraId="6C3AE0D6"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109,29</w:t>
            </w:r>
          </w:p>
        </w:tc>
        <w:tc>
          <w:tcPr>
            <w:tcW w:w="370" w:type="pct"/>
            <w:tcBorders>
              <w:top w:val="single" w:sz="4" w:space="0" w:color="auto"/>
              <w:left w:val="nil"/>
              <w:bottom w:val="single" w:sz="4" w:space="0" w:color="auto"/>
              <w:right w:val="single" w:sz="4" w:space="0" w:color="auto"/>
            </w:tcBorders>
            <w:vAlign w:val="bottom"/>
          </w:tcPr>
          <w:p w14:paraId="29D061D6"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111,61</w:t>
            </w:r>
          </w:p>
        </w:tc>
        <w:tc>
          <w:tcPr>
            <w:tcW w:w="371" w:type="pct"/>
            <w:tcBorders>
              <w:top w:val="single" w:sz="4" w:space="0" w:color="auto"/>
              <w:left w:val="nil"/>
              <w:bottom w:val="single" w:sz="4" w:space="0" w:color="auto"/>
              <w:right w:val="single" w:sz="4" w:space="0" w:color="auto"/>
            </w:tcBorders>
            <w:vAlign w:val="bottom"/>
          </w:tcPr>
          <w:p w14:paraId="3A461E64"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131,75</w:t>
            </w:r>
          </w:p>
        </w:tc>
        <w:tc>
          <w:tcPr>
            <w:tcW w:w="371" w:type="pct"/>
            <w:tcBorders>
              <w:top w:val="single" w:sz="4" w:space="0" w:color="auto"/>
              <w:left w:val="nil"/>
              <w:bottom w:val="single" w:sz="4" w:space="0" w:color="auto"/>
              <w:right w:val="single" w:sz="4" w:space="0" w:color="auto"/>
            </w:tcBorders>
            <w:vAlign w:val="bottom"/>
          </w:tcPr>
          <w:p w14:paraId="2F08BF64"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117,64</w:t>
            </w:r>
          </w:p>
        </w:tc>
        <w:tc>
          <w:tcPr>
            <w:tcW w:w="371" w:type="pct"/>
            <w:tcBorders>
              <w:top w:val="single" w:sz="4" w:space="0" w:color="auto"/>
              <w:left w:val="nil"/>
              <w:bottom w:val="single" w:sz="4" w:space="0" w:color="auto"/>
              <w:right w:val="single" w:sz="4" w:space="0" w:color="auto"/>
            </w:tcBorders>
            <w:vAlign w:val="bottom"/>
          </w:tcPr>
          <w:p w14:paraId="7DA329BA"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115,09</w:t>
            </w:r>
          </w:p>
        </w:tc>
        <w:tc>
          <w:tcPr>
            <w:tcW w:w="371" w:type="pct"/>
            <w:tcBorders>
              <w:top w:val="single" w:sz="4" w:space="0" w:color="auto"/>
              <w:left w:val="nil"/>
              <w:bottom w:val="single" w:sz="4" w:space="0" w:color="auto"/>
              <w:right w:val="single" w:sz="4" w:space="0" w:color="auto"/>
            </w:tcBorders>
            <w:vAlign w:val="bottom"/>
          </w:tcPr>
          <w:p w14:paraId="7784D2EE"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104,35</w:t>
            </w:r>
          </w:p>
        </w:tc>
        <w:tc>
          <w:tcPr>
            <w:tcW w:w="371" w:type="pct"/>
            <w:tcBorders>
              <w:top w:val="single" w:sz="4" w:space="0" w:color="auto"/>
              <w:left w:val="nil"/>
              <w:bottom w:val="single" w:sz="4" w:space="0" w:color="auto"/>
              <w:right w:val="single" w:sz="4" w:space="0" w:color="auto"/>
            </w:tcBorders>
            <w:vAlign w:val="bottom"/>
          </w:tcPr>
          <w:p w14:paraId="3D9CF929"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120,58</w:t>
            </w:r>
          </w:p>
        </w:tc>
        <w:tc>
          <w:tcPr>
            <w:tcW w:w="372" w:type="pct"/>
            <w:tcBorders>
              <w:top w:val="single" w:sz="4" w:space="0" w:color="auto"/>
              <w:left w:val="nil"/>
              <w:bottom w:val="single" w:sz="4" w:space="0" w:color="auto"/>
              <w:right w:val="single" w:sz="4" w:space="0" w:color="auto"/>
            </w:tcBorders>
            <w:vAlign w:val="bottom"/>
          </w:tcPr>
          <w:p w14:paraId="4A0F67BF"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181,14</w:t>
            </w:r>
          </w:p>
        </w:tc>
        <w:tc>
          <w:tcPr>
            <w:tcW w:w="370" w:type="pct"/>
            <w:tcBorders>
              <w:top w:val="single" w:sz="4" w:space="0" w:color="auto"/>
              <w:left w:val="nil"/>
              <w:bottom w:val="single" w:sz="4" w:space="0" w:color="auto"/>
              <w:right w:val="single" w:sz="4" w:space="0" w:color="auto"/>
            </w:tcBorders>
            <w:vAlign w:val="bottom"/>
          </w:tcPr>
          <w:p w14:paraId="4C0BD9A9"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187,45</w:t>
            </w:r>
          </w:p>
        </w:tc>
        <w:tc>
          <w:tcPr>
            <w:tcW w:w="368" w:type="pct"/>
            <w:tcBorders>
              <w:top w:val="single" w:sz="4" w:space="0" w:color="auto"/>
              <w:left w:val="nil"/>
              <w:bottom w:val="single" w:sz="4" w:space="0" w:color="auto"/>
              <w:right w:val="single" w:sz="4" w:space="0" w:color="auto"/>
            </w:tcBorders>
            <w:vAlign w:val="bottom"/>
          </w:tcPr>
          <w:p w14:paraId="7DAA08F9"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199,32</w:t>
            </w:r>
          </w:p>
        </w:tc>
      </w:tr>
      <w:tr w:rsidR="001B62F7" w:rsidRPr="0078760B" w14:paraId="14727B4C" w14:textId="77777777" w:rsidTr="00F9437E">
        <w:trPr>
          <w:trHeight w:val="705"/>
        </w:trPr>
        <w:tc>
          <w:tcPr>
            <w:tcW w:w="925" w:type="pct"/>
            <w:shd w:val="clear" w:color="auto" w:fill="E2EFD9" w:themeFill="accent6" w:themeFillTint="33"/>
          </w:tcPr>
          <w:p w14:paraId="1F7BD425" w14:textId="77777777" w:rsidR="001B62F7" w:rsidRPr="0078760B" w:rsidRDefault="001B62F7" w:rsidP="00F9437E">
            <w:pPr>
              <w:rPr>
                <w:rFonts w:ascii="Times New Roman" w:hAnsi="Times New Roman" w:cs="Times New Roman"/>
                <w:i/>
                <w:iCs/>
                <w:sz w:val="20"/>
                <w:szCs w:val="20"/>
              </w:rPr>
            </w:pPr>
          </w:p>
          <w:p w14:paraId="6C865918" w14:textId="77777777" w:rsidR="001B62F7" w:rsidRPr="0078760B" w:rsidRDefault="001B62F7" w:rsidP="00F9437E">
            <w:pPr>
              <w:rPr>
                <w:rFonts w:ascii="Times New Roman" w:hAnsi="Times New Roman" w:cs="Times New Roman"/>
                <w:i/>
                <w:iCs/>
                <w:sz w:val="20"/>
                <w:szCs w:val="20"/>
              </w:rPr>
            </w:pPr>
            <w:r w:rsidRPr="0078760B">
              <w:rPr>
                <w:rFonts w:ascii="Times New Roman" w:hAnsi="Times New Roman" w:cs="Times New Roman"/>
                <w:i/>
                <w:iCs/>
                <w:sz w:val="20"/>
                <w:szCs w:val="20"/>
              </w:rPr>
              <w:t>Šumsko zemljište</w:t>
            </w:r>
          </w:p>
        </w:tc>
        <w:tc>
          <w:tcPr>
            <w:tcW w:w="370" w:type="pct"/>
            <w:tcBorders>
              <w:top w:val="single" w:sz="4" w:space="0" w:color="auto"/>
              <w:left w:val="single" w:sz="4" w:space="0" w:color="auto"/>
              <w:bottom w:val="single" w:sz="4" w:space="0" w:color="auto"/>
              <w:right w:val="single" w:sz="4" w:space="0" w:color="auto"/>
            </w:tcBorders>
            <w:vAlign w:val="bottom"/>
          </w:tcPr>
          <w:p w14:paraId="7914DCC2"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100,00</w:t>
            </w:r>
          </w:p>
        </w:tc>
        <w:tc>
          <w:tcPr>
            <w:tcW w:w="370" w:type="pct"/>
            <w:tcBorders>
              <w:top w:val="single" w:sz="4" w:space="0" w:color="auto"/>
              <w:left w:val="nil"/>
              <w:bottom w:val="single" w:sz="4" w:space="0" w:color="auto"/>
              <w:right w:val="single" w:sz="4" w:space="0" w:color="auto"/>
            </w:tcBorders>
            <w:vAlign w:val="bottom"/>
          </w:tcPr>
          <w:p w14:paraId="3066062C"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72,57</w:t>
            </w:r>
          </w:p>
        </w:tc>
        <w:tc>
          <w:tcPr>
            <w:tcW w:w="370" w:type="pct"/>
            <w:tcBorders>
              <w:top w:val="single" w:sz="4" w:space="0" w:color="auto"/>
              <w:left w:val="nil"/>
              <w:bottom w:val="single" w:sz="4" w:space="0" w:color="auto"/>
              <w:right w:val="single" w:sz="4" w:space="0" w:color="auto"/>
            </w:tcBorders>
            <w:vAlign w:val="bottom"/>
          </w:tcPr>
          <w:p w14:paraId="55079E06"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82,91</w:t>
            </w:r>
          </w:p>
        </w:tc>
        <w:tc>
          <w:tcPr>
            <w:tcW w:w="371" w:type="pct"/>
            <w:tcBorders>
              <w:top w:val="single" w:sz="4" w:space="0" w:color="auto"/>
              <w:left w:val="nil"/>
              <w:bottom w:val="single" w:sz="4" w:space="0" w:color="auto"/>
              <w:right w:val="single" w:sz="4" w:space="0" w:color="auto"/>
            </w:tcBorders>
            <w:vAlign w:val="bottom"/>
          </w:tcPr>
          <w:p w14:paraId="2046366E"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70,37</w:t>
            </w:r>
          </w:p>
        </w:tc>
        <w:tc>
          <w:tcPr>
            <w:tcW w:w="371" w:type="pct"/>
            <w:tcBorders>
              <w:top w:val="single" w:sz="4" w:space="0" w:color="auto"/>
              <w:left w:val="nil"/>
              <w:bottom w:val="single" w:sz="4" w:space="0" w:color="auto"/>
              <w:right w:val="single" w:sz="4" w:space="0" w:color="auto"/>
            </w:tcBorders>
            <w:vAlign w:val="bottom"/>
          </w:tcPr>
          <w:p w14:paraId="40A2E32B"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100,14</w:t>
            </w:r>
          </w:p>
        </w:tc>
        <w:tc>
          <w:tcPr>
            <w:tcW w:w="371" w:type="pct"/>
            <w:tcBorders>
              <w:top w:val="single" w:sz="4" w:space="0" w:color="auto"/>
              <w:left w:val="nil"/>
              <w:bottom w:val="single" w:sz="4" w:space="0" w:color="auto"/>
              <w:right w:val="single" w:sz="4" w:space="0" w:color="auto"/>
            </w:tcBorders>
            <w:vAlign w:val="bottom"/>
          </w:tcPr>
          <w:p w14:paraId="43F1ADDB"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71,55</w:t>
            </w:r>
          </w:p>
        </w:tc>
        <w:tc>
          <w:tcPr>
            <w:tcW w:w="371" w:type="pct"/>
            <w:tcBorders>
              <w:top w:val="single" w:sz="4" w:space="0" w:color="auto"/>
              <w:left w:val="nil"/>
              <w:bottom w:val="single" w:sz="4" w:space="0" w:color="auto"/>
              <w:right w:val="single" w:sz="4" w:space="0" w:color="auto"/>
            </w:tcBorders>
            <w:vAlign w:val="bottom"/>
          </w:tcPr>
          <w:p w14:paraId="29A77E1B"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95,82</w:t>
            </w:r>
          </w:p>
        </w:tc>
        <w:tc>
          <w:tcPr>
            <w:tcW w:w="371" w:type="pct"/>
            <w:tcBorders>
              <w:top w:val="single" w:sz="4" w:space="0" w:color="auto"/>
              <w:left w:val="nil"/>
              <w:bottom w:val="single" w:sz="4" w:space="0" w:color="auto"/>
              <w:right w:val="single" w:sz="4" w:space="0" w:color="auto"/>
            </w:tcBorders>
            <w:vAlign w:val="bottom"/>
          </w:tcPr>
          <w:p w14:paraId="199D9998"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102,27</w:t>
            </w:r>
          </w:p>
        </w:tc>
        <w:tc>
          <w:tcPr>
            <w:tcW w:w="372" w:type="pct"/>
            <w:tcBorders>
              <w:top w:val="single" w:sz="4" w:space="0" w:color="auto"/>
              <w:left w:val="nil"/>
              <w:bottom w:val="single" w:sz="4" w:space="0" w:color="auto"/>
              <w:right w:val="single" w:sz="4" w:space="0" w:color="auto"/>
            </w:tcBorders>
            <w:vAlign w:val="bottom"/>
          </w:tcPr>
          <w:p w14:paraId="4E1A1025"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143,49</w:t>
            </w:r>
          </w:p>
        </w:tc>
        <w:tc>
          <w:tcPr>
            <w:tcW w:w="370" w:type="pct"/>
            <w:tcBorders>
              <w:top w:val="single" w:sz="4" w:space="0" w:color="auto"/>
              <w:left w:val="nil"/>
              <w:bottom w:val="single" w:sz="4" w:space="0" w:color="auto"/>
              <w:right w:val="single" w:sz="4" w:space="0" w:color="auto"/>
            </w:tcBorders>
            <w:vAlign w:val="bottom"/>
          </w:tcPr>
          <w:p w14:paraId="58EA308F"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225,65</w:t>
            </w:r>
          </w:p>
        </w:tc>
        <w:tc>
          <w:tcPr>
            <w:tcW w:w="368" w:type="pct"/>
            <w:tcBorders>
              <w:top w:val="single" w:sz="4" w:space="0" w:color="auto"/>
              <w:left w:val="nil"/>
              <w:bottom w:val="single" w:sz="4" w:space="0" w:color="auto"/>
              <w:right w:val="single" w:sz="4" w:space="0" w:color="auto"/>
            </w:tcBorders>
            <w:vAlign w:val="bottom"/>
          </w:tcPr>
          <w:p w14:paraId="2B55C4FA"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217,59</w:t>
            </w:r>
          </w:p>
        </w:tc>
      </w:tr>
      <w:tr w:rsidR="001B62F7" w:rsidRPr="0078760B" w14:paraId="10532BE2" w14:textId="77777777" w:rsidTr="00F9437E">
        <w:trPr>
          <w:trHeight w:val="712"/>
        </w:trPr>
        <w:tc>
          <w:tcPr>
            <w:tcW w:w="925" w:type="pct"/>
            <w:shd w:val="clear" w:color="auto" w:fill="E2EFD9" w:themeFill="accent6" w:themeFillTint="33"/>
          </w:tcPr>
          <w:p w14:paraId="06F0C93C" w14:textId="77777777" w:rsidR="001B62F7" w:rsidRDefault="001B62F7" w:rsidP="00F9437E">
            <w:pPr>
              <w:rPr>
                <w:rFonts w:ascii="Times New Roman" w:hAnsi="Times New Roman" w:cs="Times New Roman"/>
                <w:i/>
                <w:iCs/>
                <w:sz w:val="20"/>
                <w:szCs w:val="20"/>
              </w:rPr>
            </w:pPr>
          </w:p>
          <w:p w14:paraId="5E64C63B" w14:textId="77777777" w:rsidR="001B62F7" w:rsidRPr="0078760B" w:rsidRDefault="001B62F7" w:rsidP="00F9437E">
            <w:pPr>
              <w:rPr>
                <w:rFonts w:ascii="Times New Roman" w:hAnsi="Times New Roman" w:cs="Times New Roman"/>
                <w:i/>
                <w:iCs/>
                <w:sz w:val="20"/>
                <w:szCs w:val="20"/>
              </w:rPr>
            </w:pPr>
            <w:r w:rsidRPr="0078760B">
              <w:rPr>
                <w:rFonts w:ascii="Times New Roman" w:hAnsi="Times New Roman" w:cs="Times New Roman"/>
                <w:i/>
                <w:iCs/>
                <w:sz w:val="20"/>
                <w:szCs w:val="20"/>
              </w:rPr>
              <w:t>Stanovi/apartmani</w:t>
            </w:r>
          </w:p>
        </w:tc>
        <w:tc>
          <w:tcPr>
            <w:tcW w:w="370" w:type="pct"/>
            <w:tcBorders>
              <w:top w:val="single" w:sz="4" w:space="0" w:color="auto"/>
              <w:left w:val="single" w:sz="4" w:space="0" w:color="auto"/>
              <w:bottom w:val="single" w:sz="4" w:space="0" w:color="auto"/>
              <w:right w:val="single" w:sz="4" w:space="0" w:color="auto"/>
            </w:tcBorders>
            <w:vAlign w:val="bottom"/>
          </w:tcPr>
          <w:p w14:paraId="5B15B18E"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100,00</w:t>
            </w:r>
          </w:p>
        </w:tc>
        <w:tc>
          <w:tcPr>
            <w:tcW w:w="370" w:type="pct"/>
            <w:tcBorders>
              <w:top w:val="single" w:sz="4" w:space="0" w:color="auto"/>
              <w:left w:val="nil"/>
              <w:bottom w:val="single" w:sz="4" w:space="0" w:color="auto"/>
              <w:right w:val="single" w:sz="4" w:space="0" w:color="auto"/>
            </w:tcBorders>
            <w:vAlign w:val="bottom"/>
          </w:tcPr>
          <w:p w14:paraId="6A49728B"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99,45</w:t>
            </w:r>
          </w:p>
        </w:tc>
        <w:tc>
          <w:tcPr>
            <w:tcW w:w="370" w:type="pct"/>
            <w:tcBorders>
              <w:top w:val="single" w:sz="4" w:space="0" w:color="auto"/>
              <w:left w:val="nil"/>
              <w:bottom w:val="single" w:sz="4" w:space="0" w:color="auto"/>
              <w:right w:val="single" w:sz="4" w:space="0" w:color="auto"/>
            </w:tcBorders>
            <w:vAlign w:val="bottom"/>
          </w:tcPr>
          <w:p w14:paraId="1EBC3629"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105,44</w:t>
            </w:r>
          </w:p>
        </w:tc>
        <w:tc>
          <w:tcPr>
            <w:tcW w:w="371" w:type="pct"/>
            <w:tcBorders>
              <w:top w:val="single" w:sz="4" w:space="0" w:color="auto"/>
              <w:left w:val="nil"/>
              <w:bottom w:val="single" w:sz="4" w:space="0" w:color="auto"/>
              <w:right w:val="single" w:sz="4" w:space="0" w:color="auto"/>
            </w:tcBorders>
            <w:vAlign w:val="bottom"/>
          </w:tcPr>
          <w:p w14:paraId="35767971"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106,20</w:t>
            </w:r>
          </w:p>
        </w:tc>
        <w:tc>
          <w:tcPr>
            <w:tcW w:w="371" w:type="pct"/>
            <w:tcBorders>
              <w:top w:val="single" w:sz="4" w:space="0" w:color="auto"/>
              <w:left w:val="nil"/>
              <w:bottom w:val="single" w:sz="4" w:space="0" w:color="auto"/>
              <w:right w:val="single" w:sz="4" w:space="0" w:color="auto"/>
            </w:tcBorders>
            <w:vAlign w:val="bottom"/>
          </w:tcPr>
          <w:p w14:paraId="1D1DC6E2"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108,84</w:t>
            </w:r>
          </w:p>
        </w:tc>
        <w:tc>
          <w:tcPr>
            <w:tcW w:w="371" w:type="pct"/>
            <w:tcBorders>
              <w:top w:val="single" w:sz="4" w:space="0" w:color="auto"/>
              <w:left w:val="nil"/>
              <w:bottom w:val="single" w:sz="4" w:space="0" w:color="auto"/>
              <w:right w:val="single" w:sz="4" w:space="0" w:color="auto"/>
            </w:tcBorders>
            <w:vAlign w:val="bottom"/>
          </w:tcPr>
          <w:p w14:paraId="1A6395FC"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114,30</w:t>
            </w:r>
          </w:p>
        </w:tc>
        <w:tc>
          <w:tcPr>
            <w:tcW w:w="371" w:type="pct"/>
            <w:tcBorders>
              <w:top w:val="single" w:sz="4" w:space="0" w:color="auto"/>
              <w:left w:val="nil"/>
              <w:bottom w:val="single" w:sz="4" w:space="0" w:color="auto"/>
              <w:right w:val="single" w:sz="4" w:space="0" w:color="auto"/>
            </w:tcBorders>
            <w:vAlign w:val="bottom"/>
          </w:tcPr>
          <w:p w14:paraId="797D9BC4"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137,74</w:t>
            </w:r>
          </w:p>
        </w:tc>
        <w:tc>
          <w:tcPr>
            <w:tcW w:w="371" w:type="pct"/>
            <w:tcBorders>
              <w:top w:val="single" w:sz="4" w:space="0" w:color="auto"/>
              <w:left w:val="nil"/>
              <w:bottom w:val="single" w:sz="4" w:space="0" w:color="auto"/>
              <w:right w:val="single" w:sz="4" w:space="0" w:color="auto"/>
            </w:tcBorders>
            <w:vAlign w:val="bottom"/>
          </w:tcPr>
          <w:p w14:paraId="62CDA962"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149,99</w:t>
            </w:r>
          </w:p>
        </w:tc>
        <w:tc>
          <w:tcPr>
            <w:tcW w:w="372" w:type="pct"/>
            <w:tcBorders>
              <w:top w:val="single" w:sz="4" w:space="0" w:color="auto"/>
              <w:left w:val="nil"/>
              <w:bottom w:val="single" w:sz="4" w:space="0" w:color="auto"/>
              <w:right w:val="single" w:sz="4" w:space="0" w:color="auto"/>
            </w:tcBorders>
            <w:vAlign w:val="bottom"/>
          </w:tcPr>
          <w:p w14:paraId="06E8061F"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163,32</w:t>
            </w:r>
          </w:p>
        </w:tc>
        <w:tc>
          <w:tcPr>
            <w:tcW w:w="370" w:type="pct"/>
            <w:tcBorders>
              <w:top w:val="single" w:sz="4" w:space="0" w:color="auto"/>
              <w:left w:val="nil"/>
              <w:bottom w:val="single" w:sz="4" w:space="0" w:color="auto"/>
              <w:right w:val="single" w:sz="4" w:space="0" w:color="auto"/>
            </w:tcBorders>
            <w:vAlign w:val="bottom"/>
          </w:tcPr>
          <w:p w14:paraId="0E3F8DDC"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174,20</w:t>
            </w:r>
          </w:p>
        </w:tc>
        <w:tc>
          <w:tcPr>
            <w:tcW w:w="368" w:type="pct"/>
            <w:tcBorders>
              <w:top w:val="single" w:sz="4" w:space="0" w:color="auto"/>
              <w:left w:val="nil"/>
              <w:bottom w:val="single" w:sz="4" w:space="0" w:color="auto"/>
              <w:right w:val="single" w:sz="4" w:space="0" w:color="auto"/>
            </w:tcBorders>
            <w:vAlign w:val="bottom"/>
          </w:tcPr>
          <w:p w14:paraId="3731E60C"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237,31</w:t>
            </w:r>
          </w:p>
        </w:tc>
      </w:tr>
      <w:tr w:rsidR="001B62F7" w:rsidRPr="0078760B" w14:paraId="74F9FD73" w14:textId="77777777" w:rsidTr="00F9437E">
        <w:trPr>
          <w:trHeight w:val="712"/>
        </w:trPr>
        <w:tc>
          <w:tcPr>
            <w:tcW w:w="925" w:type="pct"/>
            <w:shd w:val="clear" w:color="auto" w:fill="E2EFD9" w:themeFill="accent6" w:themeFillTint="33"/>
          </w:tcPr>
          <w:p w14:paraId="61C7488D" w14:textId="77777777" w:rsidR="001B62F7" w:rsidRDefault="001B62F7" w:rsidP="00F9437E">
            <w:pPr>
              <w:rPr>
                <w:rFonts w:ascii="Times New Roman" w:hAnsi="Times New Roman" w:cs="Times New Roman"/>
                <w:i/>
                <w:iCs/>
                <w:sz w:val="20"/>
                <w:szCs w:val="20"/>
              </w:rPr>
            </w:pPr>
          </w:p>
          <w:p w14:paraId="3537460E" w14:textId="77777777" w:rsidR="001B62F7" w:rsidRPr="0078760B" w:rsidRDefault="001B62F7" w:rsidP="00F9437E">
            <w:pPr>
              <w:rPr>
                <w:rFonts w:ascii="Times New Roman" w:hAnsi="Times New Roman" w:cs="Times New Roman"/>
                <w:i/>
                <w:iCs/>
                <w:sz w:val="20"/>
                <w:szCs w:val="20"/>
              </w:rPr>
            </w:pPr>
            <w:r>
              <w:rPr>
                <w:rFonts w:ascii="Times New Roman" w:hAnsi="Times New Roman" w:cs="Times New Roman"/>
                <w:i/>
                <w:iCs/>
                <w:sz w:val="20"/>
                <w:szCs w:val="20"/>
              </w:rPr>
              <w:t>Obiteljske kuće</w:t>
            </w:r>
          </w:p>
        </w:tc>
        <w:tc>
          <w:tcPr>
            <w:tcW w:w="370" w:type="pct"/>
            <w:tcBorders>
              <w:top w:val="nil"/>
              <w:left w:val="single" w:sz="4" w:space="0" w:color="auto"/>
              <w:bottom w:val="nil"/>
              <w:right w:val="single" w:sz="4" w:space="0" w:color="auto"/>
            </w:tcBorders>
            <w:vAlign w:val="bottom"/>
          </w:tcPr>
          <w:p w14:paraId="24875217"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100,00</w:t>
            </w:r>
          </w:p>
        </w:tc>
        <w:tc>
          <w:tcPr>
            <w:tcW w:w="370" w:type="pct"/>
            <w:tcBorders>
              <w:top w:val="nil"/>
              <w:left w:val="nil"/>
              <w:bottom w:val="nil"/>
              <w:right w:val="single" w:sz="4" w:space="0" w:color="auto"/>
            </w:tcBorders>
            <w:vAlign w:val="bottom"/>
          </w:tcPr>
          <w:p w14:paraId="76650F5F"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92,00</w:t>
            </w:r>
          </w:p>
        </w:tc>
        <w:tc>
          <w:tcPr>
            <w:tcW w:w="370" w:type="pct"/>
            <w:tcBorders>
              <w:top w:val="nil"/>
              <w:left w:val="nil"/>
              <w:bottom w:val="nil"/>
              <w:right w:val="single" w:sz="4" w:space="0" w:color="auto"/>
            </w:tcBorders>
            <w:vAlign w:val="bottom"/>
          </w:tcPr>
          <w:p w14:paraId="1E0BB99B"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92,91</w:t>
            </w:r>
          </w:p>
        </w:tc>
        <w:tc>
          <w:tcPr>
            <w:tcW w:w="371" w:type="pct"/>
            <w:tcBorders>
              <w:top w:val="nil"/>
              <w:left w:val="nil"/>
              <w:bottom w:val="nil"/>
              <w:right w:val="single" w:sz="4" w:space="0" w:color="auto"/>
            </w:tcBorders>
            <w:vAlign w:val="bottom"/>
          </w:tcPr>
          <w:p w14:paraId="42DC4028"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103,69</w:t>
            </w:r>
          </w:p>
        </w:tc>
        <w:tc>
          <w:tcPr>
            <w:tcW w:w="371" w:type="pct"/>
            <w:tcBorders>
              <w:top w:val="nil"/>
              <w:left w:val="nil"/>
              <w:bottom w:val="nil"/>
              <w:right w:val="single" w:sz="4" w:space="0" w:color="auto"/>
            </w:tcBorders>
            <w:vAlign w:val="bottom"/>
          </w:tcPr>
          <w:p w14:paraId="16961800"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101,75</w:t>
            </w:r>
          </w:p>
        </w:tc>
        <w:tc>
          <w:tcPr>
            <w:tcW w:w="371" w:type="pct"/>
            <w:tcBorders>
              <w:top w:val="nil"/>
              <w:left w:val="nil"/>
              <w:bottom w:val="nil"/>
              <w:right w:val="single" w:sz="4" w:space="0" w:color="auto"/>
            </w:tcBorders>
            <w:vAlign w:val="bottom"/>
          </w:tcPr>
          <w:p w14:paraId="172366D5"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99,10</w:t>
            </w:r>
          </w:p>
        </w:tc>
        <w:tc>
          <w:tcPr>
            <w:tcW w:w="371" w:type="pct"/>
            <w:tcBorders>
              <w:top w:val="nil"/>
              <w:left w:val="nil"/>
              <w:bottom w:val="nil"/>
              <w:right w:val="single" w:sz="4" w:space="0" w:color="auto"/>
            </w:tcBorders>
            <w:vAlign w:val="bottom"/>
          </w:tcPr>
          <w:p w14:paraId="442CC103"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112,46</w:t>
            </w:r>
          </w:p>
        </w:tc>
        <w:tc>
          <w:tcPr>
            <w:tcW w:w="371" w:type="pct"/>
            <w:tcBorders>
              <w:top w:val="nil"/>
              <w:left w:val="nil"/>
              <w:bottom w:val="nil"/>
              <w:right w:val="single" w:sz="4" w:space="0" w:color="auto"/>
            </w:tcBorders>
            <w:vAlign w:val="bottom"/>
          </w:tcPr>
          <w:p w14:paraId="03F55C72"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152,09</w:t>
            </w:r>
          </w:p>
        </w:tc>
        <w:tc>
          <w:tcPr>
            <w:tcW w:w="372" w:type="pct"/>
            <w:tcBorders>
              <w:top w:val="nil"/>
              <w:left w:val="nil"/>
              <w:bottom w:val="nil"/>
              <w:right w:val="single" w:sz="4" w:space="0" w:color="auto"/>
            </w:tcBorders>
            <w:vAlign w:val="bottom"/>
          </w:tcPr>
          <w:p w14:paraId="76E83869"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148,98</w:t>
            </w:r>
          </w:p>
        </w:tc>
        <w:tc>
          <w:tcPr>
            <w:tcW w:w="370" w:type="pct"/>
            <w:tcBorders>
              <w:top w:val="nil"/>
              <w:left w:val="nil"/>
              <w:bottom w:val="nil"/>
              <w:right w:val="single" w:sz="4" w:space="0" w:color="auto"/>
            </w:tcBorders>
            <w:vAlign w:val="bottom"/>
          </w:tcPr>
          <w:p w14:paraId="45C8FA6C"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151,15</w:t>
            </w:r>
          </w:p>
        </w:tc>
        <w:tc>
          <w:tcPr>
            <w:tcW w:w="368" w:type="pct"/>
            <w:tcBorders>
              <w:top w:val="nil"/>
              <w:left w:val="nil"/>
              <w:bottom w:val="nil"/>
              <w:right w:val="single" w:sz="4" w:space="0" w:color="auto"/>
            </w:tcBorders>
            <w:vAlign w:val="bottom"/>
          </w:tcPr>
          <w:p w14:paraId="4A3BD8D3"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color w:val="000000"/>
                <w:sz w:val="20"/>
                <w:szCs w:val="20"/>
              </w:rPr>
              <w:t>162,23</w:t>
            </w:r>
          </w:p>
        </w:tc>
      </w:tr>
      <w:tr w:rsidR="001B62F7" w:rsidRPr="0078760B" w14:paraId="46C98F33" w14:textId="77777777" w:rsidTr="00F9437E">
        <w:trPr>
          <w:trHeight w:val="712"/>
        </w:trPr>
        <w:tc>
          <w:tcPr>
            <w:tcW w:w="925" w:type="pct"/>
            <w:shd w:val="clear" w:color="auto" w:fill="E2EFD9" w:themeFill="accent6" w:themeFillTint="33"/>
          </w:tcPr>
          <w:p w14:paraId="5D3F17E4" w14:textId="77777777" w:rsidR="001B62F7" w:rsidRPr="0078760B" w:rsidRDefault="001B62F7" w:rsidP="00F9437E">
            <w:pPr>
              <w:rPr>
                <w:rFonts w:ascii="Times New Roman" w:hAnsi="Times New Roman" w:cs="Times New Roman"/>
                <w:i/>
                <w:iCs/>
                <w:sz w:val="20"/>
                <w:szCs w:val="20"/>
              </w:rPr>
            </w:pPr>
          </w:p>
          <w:p w14:paraId="58846F8D" w14:textId="77777777" w:rsidR="001B62F7" w:rsidRPr="0078760B" w:rsidRDefault="001B62F7" w:rsidP="00F9437E">
            <w:pPr>
              <w:rPr>
                <w:rFonts w:ascii="Times New Roman" w:hAnsi="Times New Roman" w:cs="Times New Roman"/>
                <w:i/>
                <w:iCs/>
                <w:sz w:val="20"/>
                <w:szCs w:val="20"/>
              </w:rPr>
            </w:pPr>
            <w:r>
              <w:rPr>
                <w:rFonts w:ascii="Times New Roman" w:hAnsi="Times New Roman" w:cs="Times New Roman"/>
                <w:i/>
                <w:iCs/>
                <w:sz w:val="20"/>
                <w:szCs w:val="20"/>
              </w:rPr>
              <w:t>Poslovni prostori zakup</w:t>
            </w:r>
          </w:p>
        </w:tc>
        <w:tc>
          <w:tcPr>
            <w:tcW w:w="370" w:type="pct"/>
            <w:vAlign w:val="center"/>
          </w:tcPr>
          <w:p w14:paraId="6BB85960" w14:textId="77777777" w:rsidR="001B62F7" w:rsidRPr="00A87FCB" w:rsidRDefault="001B62F7" w:rsidP="00F9437E">
            <w:pPr>
              <w:jc w:val="center"/>
              <w:rPr>
                <w:rFonts w:ascii="Times New Roman" w:hAnsi="Times New Roman" w:cs="Times New Roman"/>
                <w:sz w:val="20"/>
                <w:szCs w:val="20"/>
              </w:rPr>
            </w:pPr>
          </w:p>
        </w:tc>
        <w:tc>
          <w:tcPr>
            <w:tcW w:w="370" w:type="pct"/>
            <w:vAlign w:val="center"/>
          </w:tcPr>
          <w:p w14:paraId="1A4999F5" w14:textId="77777777" w:rsidR="001B62F7" w:rsidRPr="00A87FCB" w:rsidRDefault="001B62F7" w:rsidP="00F9437E">
            <w:pPr>
              <w:jc w:val="center"/>
              <w:rPr>
                <w:rFonts w:ascii="Times New Roman" w:hAnsi="Times New Roman" w:cs="Times New Roman"/>
                <w:sz w:val="20"/>
                <w:szCs w:val="20"/>
              </w:rPr>
            </w:pPr>
          </w:p>
        </w:tc>
        <w:tc>
          <w:tcPr>
            <w:tcW w:w="370" w:type="pct"/>
            <w:vAlign w:val="center"/>
          </w:tcPr>
          <w:p w14:paraId="14A41D01" w14:textId="77777777" w:rsidR="001B62F7" w:rsidRPr="00A87FCB" w:rsidRDefault="001B62F7" w:rsidP="00F9437E">
            <w:pPr>
              <w:jc w:val="center"/>
              <w:rPr>
                <w:rFonts w:ascii="Times New Roman" w:hAnsi="Times New Roman" w:cs="Times New Roman"/>
                <w:sz w:val="20"/>
                <w:szCs w:val="20"/>
              </w:rPr>
            </w:pPr>
          </w:p>
        </w:tc>
        <w:tc>
          <w:tcPr>
            <w:tcW w:w="371" w:type="pct"/>
            <w:vAlign w:val="center"/>
          </w:tcPr>
          <w:p w14:paraId="76F97066" w14:textId="77777777" w:rsidR="001B62F7" w:rsidRPr="00A87FCB" w:rsidRDefault="001B62F7" w:rsidP="00F9437E">
            <w:pPr>
              <w:jc w:val="center"/>
              <w:rPr>
                <w:rFonts w:ascii="Times New Roman" w:hAnsi="Times New Roman" w:cs="Times New Roman"/>
                <w:sz w:val="20"/>
                <w:szCs w:val="20"/>
              </w:rPr>
            </w:pPr>
          </w:p>
        </w:tc>
        <w:tc>
          <w:tcPr>
            <w:tcW w:w="371" w:type="pct"/>
            <w:vAlign w:val="center"/>
          </w:tcPr>
          <w:p w14:paraId="5A59EC5E" w14:textId="77777777" w:rsidR="001B62F7" w:rsidRPr="00A87FCB" w:rsidRDefault="001B62F7" w:rsidP="00F9437E">
            <w:pPr>
              <w:jc w:val="center"/>
              <w:rPr>
                <w:rFonts w:ascii="Times New Roman" w:hAnsi="Times New Roman" w:cs="Times New Roman"/>
                <w:sz w:val="20"/>
                <w:szCs w:val="20"/>
              </w:rPr>
            </w:pPr>
          </w:p>
        </w:tc>
        <w:tc>
          <w:tcPr>
            <w:tcW w:w="371" w:type="pct"/>
            <w:vAlign w:val="center"/>
          </w:tcPr>
          <w:p w14:paraId="46CDC0F8" w14:textId="77777777" w:rsidR="001B62F7" w:rsidRPr="00A87FCB" w:rsidRDefault="001B62F7" w:rsidP="00F9437E">
            <w:pPr>
              <w:jc w:val="center"/>
              <w:rPr>
                <w:rFonts w:ascii="Times New Roman" w:hAnsi="Times New Roman" w:cs="Times New Roman"/>
                <w:sz w:val="20"/>
                <w:szCs w:val="20"/>
              </w:rPr>
            </w:pPr>
          </w:p>
        </w:tc>
        <w:tc>
          <w:tcPr>
            <w:tcW w:w="371" w:type="pct"/>
            <w:vAlign w:val="center"/>
          </w:tcPr>
          <w:p w14:paraId="5E70B65F" w14:textId="77777777" w:rsidR="001B62F7" w:rsidRPr="00A87FCB" w:rsidRDefault="001B62F7" w:rsidP="00F9437E">
            <w:pPr>
              <w:jc w:val="center"/>
              <w:rPr>
                <w:rFonts w:ascii="Times New Roman" w:hAnsi="Times New Roman" w:cs="Times New Roman"/>
                <w:sz w:val="20"/>
                <w:szCs w:val="20"/>
              </w:rPr>
            </w:pPr>
          </w:p>
        </w:tc>
        <w:tc>
          <w:tcPr>
            <w:tcW w:w="371" w:type="pct"/>
            <w:vAlign w:val="center"/>
          </w:tcPr>
          <w:p w14:paraId="251130E8" w14:textId="77777777" w:rsidR="001B62F7" w:rsidRPr="00A87FCB" w:rsidRDefault="001B62F7" w:rsidP="00F9437E">
            <w:pPr>
              <w:jc w:val="center"/>
              <w:rPr>
                <w:rFonts w:ascii="Times New Roman" w:hAnsi="Times New Roman" w:cs="Times New Roman"/>
                <w:sz w:val="20"/>
                <w:szCs w:val="20"/>
              </w:rPr>
            </w:pPr>
          </w:p>
        </w:tc>
        <w:tc>
          <w:tcPr>
            <w:tcW w:w="372" w:type="pct"/>
            <w:vAlign w:val="center"/>
          </w:tcPr>
          <w:p w14:paraId="1F8DF852" w14:textId="77777777" w:rsidR="001B62F7" w:rsidRPr="00A87FCB" w:rsidRDefault="001B62F7" w:rsidP="00F9437E">
            <w:pPr>
              <w:jc w:val="center"/>
              <w:rPr>
                <w:rFonts w:ascii="Times New Roman" w:hAnsi="Times New Roman" w:cs="Times New Roman"/>
                <w:sz w:val="20"/>
                <w:szCs w:val="20"/>
              </w:rPr>
            </w:pPr>
          </w:p>
        </w:tc>
        <w:tc>
          <w:tcPr>
            <w:tcW w:w="370" w:type="pct"/>
            <w:vAlign w:val="center"/>
          </w:tcPr>
          <w:p w14:paraId="247C1292"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sz w:val="20"/>
                <w:szCs w:val="20"/>
              </w:rPr>
              <w:t>100,00</w:t>
            </w:r>
          </w:p>
        </w:tc>
        <w:tc>
          <w:tcPr>
            <w:tcW w:w="368" w:type="pct"/>
            <w:vAlign w:val="center"/>
          </w:tcPr>
          <w:p w14:paraId="46E12808" w14:textId="77777777" w:rsidR="001B62F7" w:rsidRPr="00A87FCB" w:rsidRDefault="001B62F7" w:rsidP="00F9437E">
            <w:pPr>
              <w:jc w:val="center"/>
              <w:rPr>
                <w:rFonts w:ascii="Times New Roman" w:hAnsi="Times New Roman" w:cs="Times New Roman"/>
                <w:sz w:val="20"/>
                <w:szCs w:val="20"/>
              </w:rPr>
            </w:pPr>
            <w:r w:rsidRPr="00A87FCB">
              <w:rPr>
                <w:rFonts w:ascii="Times New Roman" w:hAnsi="Times New Roman" w:cs="Times New Roman"/>
                <w:sz w:val="20"/>
                <w:szCs w:val="20"/>
              </w:rPr>
              <w:t>136,48</w:t>
            </w:r>
          </w:p>
        </w:tc>
      </w:tr>
    </w:tbl>
    <w:p w14:paraId="67845A3F" w14:textId="77777777" w:rsidR="001B62F7" w:rsidRDefault="001B62F7" w:rsidP="001E3AE2"/>
    <w:p w14:paraId="21F1970F" w14:textId="77777777" w:rsidR="001D76EE" w:rsidRDefault="001D76EE" w:rsidP="007E1F50">
      <w:pPr>
        <w:rPr>
          <w:b/>
          <w:bCs/>
        </w:rPr>
      </w:pPr>
    </w:p>
    <w:p w14:paraId="5BF2D3F5" w14:textId="6BFE9D9E" w:rsidR="007E1F50" w:rsidRPr="001D76EE" w:rsidRDefault="007E1F50" w:rsidP="007E1F50">
      <w:pPr>
        <w:rPr>
          <w:rFonts w:ascii="Times New Roman" w:hAnsi="Times New Roman" w:cs="Times New Roman"/>
          <w:b/>
          <w:bCs/>
        </w:rPr>
      </w:pPr>
      <w:r w:rsidRPr="001D76EE">
        <w:rPr>
          <w:rFonts w:ascii="Times New Roman" w:hAnsi="Times New Roman" w:cs="Times New Roman"/>
          <w:b/>
          <w:bCs/>
        </w:rPr>
        <w:lastRenderedPageBreak/>
        <w:t>OBRAZLOŽENJE</w:t>
      </w:r>
    </w:p>
    <w:p w14:paraId="0DBA3320" w14:textId="77777777" w:rsidR="007E1F50" w:rsidRPr="001D76EE" w:rsidRDefault="007E1F50" w:rsidP="007E1F50">
      <w:pPr>
        <w:rPr>
          <w:rFonts w:ascii="Times New Roman" w:hAnsi="Times New Roman" w:cs="Times New Roman"/>
        </w:rPr>
      </w:pPr>
      <w:r w:rsidRPr="001D76EE">
        <w:rPr>
          <w:rFonts w:ascii="Times New Roman" w:hAnsi="Times New Roman" w:cs="Times New Roman"/>
        </w:rPr>
        <w:t>Pravna osnova</w:t>
      </w:r>
    </w:p>
    <w:p w14:paraId="686B6F35" w14:textId="3B48134A" w:rsidR="007E1F50" w:rsidRPr="001D76EE" w:rsidRDefault="007E1F50" w:rsidP="00194AB5">
      <w:pPr>
        <w:jc w:val="both"/>
        <w:rPr>
          <w:rFonts w:ascii="Times New Roman" w:hAnsi="Times New Roman" w:cs="Times New Roman"/>
        </w:rPr>
      </w:pPr>
      <w:r w:rsidRPr="001D76EE">
        <w:rPr>
          <w:rFonts w:ascii="Times New Roman" w:hAnsi="Times New Roman" w:cs="Times New Roman"/>
        </w:rPr>
        <w:t>Zakon o procjeni vrijednosti nekretnina („Narodne novine“ broj 78/2015) (u daljnjem tekstu: Zakon) u odredbama članka 4. propisuje da su indeksni nizovi (bazni indeksi) nizovi kojima se prate promjene općih vrijednosnih odnosa na tržištu nekretnina na način da se prosječan odnos cijene nekretnine nekog obuhvaćenog razdoblja stavi u odnos s cijenama nekretnina iz baznog razdoblja s indeksnim brojem 100. Pomoću indeksnih nizova provodi se međuvremensko izjednačenje, odnosno postupak preračunavanja razlika u konjunkturi do kojih dolazi zbog promjena općih vrijednosnih odnosa na tržištu nekretnina tijekom vremena.</w:t>
      </w:r>
    </w:p>
    <w:p w14:paraId="5CFE50D8" w14:textId="77777777" w:rsidR="007E1F50" w:rsidRPr="001D76EE" w:rsidRDefault="007E1F50" w:rsidP="00194AB5">
      <w:pPr>
        <w:jc w:val="both"/>
        <w:rPr>
          <w:rFonts w:ascii="Times New Roman" w:hAnsi="Times New Roman" w:cs="Times New Roman"/>
        </w:rPr>
      </w:pPr>
      <w:r w:rsidRPr="001D76EE">
        <w:rPr>
          <w:rFonts w:ascii="Times New Roman" w:hAnsi="Times New Roman" w:cs="Times New Roman"/>
        </w:rPr>
        <w:t>Pravilnik o metodama procjene vrijednosti nekretnina („Narodne novine“, broj 105/15) (dalje u tekstu: Pravilnik) u članku 7. propisuje da je pomoću indeksnih nizova dozvoljeno međuvremensko izjednačenje kupoprodajnih cijena poredbenih nekretnina koje su ugovorene najviše četiri godine unatrag, u odnosu na dan vrednovanja. Članak 23. Pravilnika definira nužne podatke za procjenu vrijednosti nekretnine koji primarno obuhvaćaju kamatne stope na nekretnine, koeficijente za prilagodbu, indeksne nizove (bazne indekse), koeficijente za preračunavanje i poredbene pokazatelje za izgrađena zemljišta. Sukladno članku 26. Pravilnika, indeksni nizovi (bazni indeksi) izvode se za nekretnine usporedivog položaja i korištenja, a osobito za cijene zemljišta, stanova kao posebnih dijelova nekretnine i obiteljskih kuća.</w:t>
      </w:r>
    </w:p>
    <w:p w14:paraId="23704C35" w14:textId="77777777" w:rsidR="007E1F50" w:rsidRPr="001D76EE" w:rsidRDefault="007E1F50" w:rsidP="00194AB5">
      <w:pPr>
        <w:jc w:val="both"/>
        <w:rPr>
          <w:rFonts w:ascii="Times New Roman" w:hAnsi="Times New Roman" w:cs="Times New Roman"/>
        </w:rPr>
      </w:pPr>
      <w:r w:rsidRPr="001D76EE">
        <w:rPr>
          <w:rFonts w:ascii="Times New Roman" w:hAnsi="Times New Roman" w:cs="Times New Roman"/>
        </w:rPr>
        <w:t>Izvori podataka</w:t>
      </w:r>
    </w:p>
    <w:p w14:paraId="262849A6" w14:textId="77777777" w:rsidR="007E1F50" w:rsidRPr="001D76EE" w:rsidRDefault="007E1F50" w:rsidP="00194AB5">
      <w:pPr>
        <w:jc w:val="both"/>
        <w:rPr>
          <w:rFonts w:ascii="Times New Roman" w:hAnsi="Times New Roman" w:cs="Times New Roman"/>
        </w:rPr>
      </w:pPr>
      <w:r w:rsidRPr="001D76EE">
        <w:rPr>
          <w:rFonts w:ascii="Times New Roman" w:hAnsi="Times New Roman" w:cs="Times New Roman"/>
        </w:rPr>
        <w:t>Temeljem članka 6. Pravilnika, do sada su se za međuvremensko izjednačenje mogli koristiti indeksni nizovi objavljeni na Eurostatu (Hrvatska narodna banka), Državnom zavodu za statistiku, Hrvatskoj gospodarskoj komori, kao i odgovarajući statistički podatci agencija za posredovanje u prometu nekretninama, ukoliko su takvi podaci bili javno dostupni. Od raspoloživih podataka uzimali su se u obzir oni koji su najbolje odražavali opće vrijednosne odnose na lokalnom tržištu nekretnina.</w:t>
      </w:r>
    </w:p>
    <w:p w14:paraId="729E2837" w14:textId="116A37C6" w:rsidR="007E1F50" w:rsidRPr="001D76EE" w:rsidRDefault="007E1F50" w:rsidP="00194AB5">
      <w:pPr>
        <w:jc w:val="both"/>
        <w:rPr>
          <w:rFonts w:ascii="Times New Roman" w:hAnsi="Times New Roman" w:cs="Times New Roman"/>
        </w:rPr>
      </w:pPr>
      <w:r w:rsidRPr="001D76EE">
        <w:rPr>
          <w:rFonts w:ascii="Times New Roman" w:hAnsi="Times New Roman" w:cs="Times New Roman"/>
        </w:rPr>
        <w:t>Sukladno odredbama članka 12. stavka 1. točke 1. Zakona, te članka 16. stavka 1. točke 3. Zakona, izvođenje i ažuriranje nužnih podataka (u što se ubrajaju indeksni nizovi) je u nadležnosti upravnih tijela i procjeniteljskih povjerenstva. Slijedom navedenog, nadležno upravno tijelo (Upravni odjel za graditeljstvo infrastrukturu i zaštitu okoliša), pripremilo je Procjeniteljskom povjerenstvu za tržište nekretnina za područje Brodsko-posavske županije prijedlog Indeksnih nizova kupoprodajnih cijena nekretnina od 2015. do 202</w:t>
      </w:r>
      <w:r w:rsidR="001D76EE">
        <w:rPr>
          <w:rFonts w:ascii="Times New Roman" w:hAnsi="Times New Roman" w:cs="Times New Roman"/>
        </w:rPr>
        <w:t>5</w:t>
      </w:r>
      <w:r w:rsidRPr="001D76EE">
        <w:rPr>
          <w:rFonts w:ascii="Times New Roman" w:hAnsi="Times New Roman" w:cs="Times New Roman"/>
        </w:rPr>
        <w:t>. godine za područje Brodsko-posavske županije za nekretnine iz članka 26. Pravilnika.</w:t>
      </w:r>
    </w:p>
    <w:p w14:paraId="3879A7B0" w14:textId="4C42EEAC" w:rsidR="007E1F50" w:rsidRPr="001D76EE" w:rsidRDefault="007E1F50" w:rsidP="00194AB5">
      <w:pPr>
        <w:jc w:val="both"/>
        <w:rPr>
          <w:rFonts w:ascii="Times New Roman" w:hAnsi="Times New Roman" w:cs="Times New Roman"/>
        </w:rPr>
      </w:pPr>
      <w:r w:rsidRPr="001D76EE">
        <w:rPr>
          <w:rFonts w:ascii="Times New Roman" w:hAnsi="Times New Roman" w:cs="Times New Roman"/>
        </w:rPr>
        <w:t>Indeksni nizovi izvodili su se na temelju dovoljnog broja podataka prikladnih kupoprodajnih cijena. Korišten je primjer statističke obrade podataka opisan u dokumentu „Metodologija za izradu Plana približnih vrijednosti zemljišta“. Indeksni nizovi kupoprodajnih cijena nekretnina od 2015. do 202</w:t>
      </w:r>
      <w:r w:rsidR="001D76EE">
        <w:rPr>
          <w:rFonts w:ascii="Times New Roman" w:hAnsi="Times New Roman" w:cs="Times New Roman"/>
        </w:rPr>
        <w:t>5</w:t>
      </w:r>
      <w:r w:rsidRPr="001D76EE">
        <w:rPr>
          <w:rFonts w:ascii="Times New Roman" w:hAnsi="Times New Roman" w:cs="Times New Roman"/>
        </w:rPr>
        <w:t>. godine biti će ugrađeni u Izvješće o tržištu nekretnina za područje Brodsko-posavske županije za 202</w:t>
      </w:r>
      <w:r w:rsidR="001D76EE">
        <w:rPr>
          <w:rFonts w:ascii="Times New Roman" w:hAnsi="Times New Roman" w:cs="Times New Roman"/>
        </w:rPr>
        <w:t>5</w:t>
      </w:r>
      <w:r w:rsidRPr="001D76EE">
        <w:rPr>
          <w:rFonts w:ascii="Times New Roman" w:hAnsi="Times New Roman" w:cs="Times New Roman"/>
        </w:rPr>
        <w:t>. godinu.</w:t>
      </w:r>
    </w:p>
    <w:p w14:paraId="2E22DF62" w14:textId="77777777" w:rsidR="007E1F50" w:rsidRPr="001D76EE" w:rsidRDefault="007E1F50" w:rsidP="00194AB5">
      <w:pPr>
        <w:jc w:val="both"/>
        <w:rPr>
          <w:rFonts w:ascii="Times New Roman" w:hAnsi="Times New Roman" w:cs="Times New Roman"/>
        </w:rPr>
      </w:pPr>
      <w:r w:rsidRPr="001D76EE">
        <w:rPr>
          <w:rFonts w:ascii="Times New Roman" w:hAnsi="Times New Roman" w:cs="Times New Roman"/>
        </w:rPr>
        <w:t>Obuhvat</w:t>
      </w:r>
    </w:p>
    <w:p w14:paraId="0AE08148" w14:textId="1212A995" w:rsidR="007E1F50" w:rsidRPr="001D76EE" w:rsidRDefault="007E1F50" w:rsidP="00194AB5">
      <w:pPr>
        <w:jc w:val="both"/>
        <w:rPr>
          <w:rFonts w:ascii="Times New Roman" w:hAnsi="Times New Roman" w:cs="Times New Roman"/>
        </w:rPr>
      </w:pPr>
      <w:r w:rsidRPr="001D76EE">
        <w:rPr>
          <w:rFonts w:ascii="Times New Roman" w:hAnsi="Times New Roman" w:cs="Times New Roman"/>
        </w:rPr>
        <w:t>Indeksni nizovi kupoprodajnih cijena nekretnina od 2015. do 202</w:t>
      </w:r>
      <w:r w:rsidR="001D76EE">
        <w:rPr>
          <w:rFonts w:ascii="Times New Roman" w:hAnsi="Times New Roman" w:cs="Times New Roman"/>
        </w:rPr>
        <w:t>5</w:t>
      </w:r>
      <w:r w:rsidRPr="001D76EE">
        <w:rPr>
          <w:rFonts w:ascii="Times New Roman" w:hAnsi="Times New Roman" w:cs="Times New Roman"/>
        </w:rPr>
        <w:t>. godine za područje Brodsko-posavske županije obuhvaćaju podatke cjelokupnog područja Županije (nedostaju podaci za Grad Slavonski Brod, koji kao „veliki grad“ zasebno vodi svoju Zbirku kupoprodajnih cijena).</w:t>
      </w:r>
    </w:p>
    <w:p w14:paraId="61CC4FFE" w14:textId="097D1019" w:rsidR="007E1F50" w:rsidRPr="001D76EE" w:rsidRDefault="007E1F50" w:rsidP="00194AB5">
      <w:pPr>
        <w:jc w:val="both"/>
        <w:rPr>
          <w:rFonts w:ascii="Times New Roman" w:hAnsi="Times New Roman" w:cs="Times New Roman"/>
        </w:rPr>
      </w:pPr>
      <w:r w:rsidRPr="001D76EE">
        <w:rPr>
          <w:rFonts w:ascii="Times New Roman" w:hAnsi="Times New Roman" w:cs="Times New Roman"/>
        </w:rPr>
        <w:lastRenderedPageBreak/>
        <w:t>Iskazani indeks obuhvaća sve raspoložive podatke o transakcijama građevinskog, poljoprivrednog i šumskog zemljišta, stanova i obiteljskih kuća</w:t>
      </w:r>
      <w:r w:rsidR="001D76EE">
        <w:rPr>
          <w:rFonts w:ascii="Times New Roman" w:hAnsi="Times New Roman" w:cs="Times New Roman"/>
        </w:rPr>
        <w:t xml:space="preserve"> te od 2024. godine zakup poslovnih prostora</w:t>
      </w:r>
      <w:r w:rsidRPr="001D76EE">
        <w:rPr>
          <w:rFonts w:ascii="Times New Roman" w:hAnsi="Times New Roman" w:cs="Times New Roman"/>
        </w:rPr>
        <w:t xml:space="preserve"> na području Brodsko-posavske županije, koje je putem aplikacije eNekretnine (u pdf-u) dostavila Porezna uprava</w:t>
      </w:r>
      <w:r w:rsidR="001D76EE">
        <w:rPr>
          <w:rFonts w:ascii="Times New Roman" w:hAnsi="Times New Roman" w:cs="Times New Roman"/>
        </w:rPr>
        <w:t xml:space="preserve"> ili javni bilježnici za zakupe, a svi</w:t>
      </w:r>
      <w:r w:rsidRPr="001D76EE">
        <w:rPr>
          <w:rFonts w:ascii="Times New Roman" w:hAnsi="Times New Roman" w:cs="Times New Roman"/>
        </w:rPr>
        <w:t xml:space="preserve"> ovjereni od strane javnih bilježnika.</w:t>
      </w:r>
    </w:p>
    <w:p w14:paraId="76259CE2" w14:textId="1814C05E" w:rsidR="007E1F50" w:rsidRPr="001D76EE" w:rsidRDefault="007E1F50" w:rsidP="00194AB5">
      <w:pPr>
        <w:jc w:val="both"/>
        <w:rPr>
          <w:rFonts w:ascii="Times New Roman" w:hAnsi="Times New Roman" w:cs="Times New Roman"/>
        </w:rPr>
      </w:pPr>
      <w:r w:rsidRPr="001D76EE">
        <w:rPr>
          <w:rFonts w:ascii="Times New Roman" w:hAnsi="Times New Roman" w:cs="Times New Roman"/>
        </w:rPr>
        <w:t>Pri izradi indeksnih nizova, razmatrane su vrste nekretnina za cjelokupno područje Brodsko-posavske županije. Razlog ne dijeljenja područja je loš uzorak početnih podataka,</w:t>
      </w:r>
      <w:r w:rsidR="00194AB5" w:rsidRPr="001D76EE">
        <w:rPr>
          <w:rFonts w:ascii="Times New Roman" w:hAnsi="Times New Roman" w:cs="Times New Roman"/>
        </w:rPr>
        <w:t xml:space="preserve"> odnosno</w:t>
      </w:r>
      <w:r w:rsidRPr="001D76EE">
        <w:rPr>
          <w:rFonts w:ascii="Times New Roman" w:hAnsi="Times New Roman" w:cs="Times New Roman"/>
        </w:rPr>
        <w:t xml:space="preserve"> mali broj transakcija za neke vrste nekretnina.</w:t>
      </w:r>
    </w:p>
    <w:p w14:paraId="4C19D693" w14:textId="77777777" w:rsidR="009B2741" w:rsidRPr="001D76EE" w:rsidRDefault="009B2741" w:rsidP="00194AB5">
      <w:pPr>
        <w:jc w:val="both"/>
        <w:rPr>
          <w:rFonts w:ascii="Times New Roman" w:hAnsi="Times New Roman" w:cs="Times New Roman"/>
        </w:rPr>
      </w:pPr>
    </w:p>
    <w:p w14:paraId="3845672F" w14:textId="77777777" w:rsidR="00194AB5" w:rsidRPr="001D76EE" w:rsidRDefault="00194AB5" w:rsidP="00194AB5">
      <w:pPr>
        <w:jc w:val="both"/>
        <w:rPr>
          <w:rFonts w:ascii="Times New Roman" w:hAnsi="Times New Roman" w:cs="Times New Roman"/>
        </w:rPr>
      </w:pPr>
    </w:p>
    <w:p w14:paraId="29C7B5D0" w14:textId="77777777" w:rsidR="00194AB5" w:rsidRPr="001D76EE" w:rsidRDefault="00194AB5" w:rsidP="00194AB5">
      <w:pPr>
        <w:jc w:val="both"/>
        <w:rPr>
          <w:rFonts w:ascii="Times New Roman" w:hAnsi="Times New Roman" w:cs="Times New Roman"/>
        </w:rPr>
      </w:pPr>
    </w:p>
    <w:p w14:paraId="1C009399" w14:textId="169ACF92" w:rsidR="007E1F50" w:rsidRPr="001D76EE" w:rsidRDefault="007E1F50" w:rsidP="005715E9">
      <w:pPr>
        <w:spacing w:after="0" w:line="240" w:lineRule="auto"/>
        <w:rPr>
          <w:rFonts w:ascii="Times New Roman" w:hAnsi="Times New Roman" w:cs="Times New Roman"/>
        </w:rPr>
      </w:pPr>
      <w:r w:rsidRPr="001D76EE">
        <w:rPr>
          <w:rFonts w:ascii="Times New Roman" w:hAnsi="Times New Roman" w:cs="Times New Roman"/>
        </w:rPr>
        <w:t>BRODSKO - POSAVSKA  ŽUPANIJA</w:t>
      </w:r>
    </w:p>
    <w:p w14:paraId="49170932" w14:textId="77777777" w:rsidR="005715E9" w:rsidRPr="001D76EE" w:rsidRDefault="007E1F50" w:rsidP="005715E9">
      <w:pPr>
        <w:spacing w:after="0" w:line="240" w:lineRule="auto"/>
        <w:rPr>
          <w:rFonts w:ascii="Times New Roman" w:hAnsi="Times New Roman" w:cs="Times New Roman"/>
        </w:rPr>
      </w:pPr>
      <w:r w:rsidRPr="001D76EE">
        <w:rPr>
          <w:rFonts w:ascii="Times New Roman" w:hAnsi="Times New Roman" w:cs="Times New Roman"/>
        </w:rPr>
        <w:t>Upravni odjel za graditeljstvo, infrastrukturu</w:t>
      </w:r>
      <w:r w:rsidR="00180F97" w:rsidRPr="001D76EE">
        <w:rPr>
          <w:rFonts w:ascii="Times New Roman" w:hAnsi="Times New Roman" w:cs="Times New Roman"/>
        </w:rPr>
        <w:t xml:space="preserve"> </w:t>
      </w:r>
      <w:r w:rsidRPr="001D76EE">
        <w:rPr>
          <w:rFonts w:ascii="Times New Roman" w:hAnsi="Times New Roman" w:cs="Times New Roman"/>
        </w:rPr>
        <w:t xml:space="preserve">i </w:t>
      </w:r>
      <w:r w:rsidR="00180F97" w:rsidRPr="001D76EE">
        <w:rPr>
          <w:rFonts w:ascii="Times New Roman" w:hAnsi="Times New Roman" w:cs="Times New Roman"/>
        </w:rPr>
        <w:t>zaštitu okoliša</w:t>
      </w:r>
    </w:p>
    <w:p w14:paraId="40AB5E65" w14:textId="3841A300" w:rsidR="005715E9" w:rsidRPr="001D76EE" w:rsidRDefault="005715E9" w:rsidP="005715E9">
      <w:pPr>
        <w:spacing w:line="240" w:lineRule="auto"/>
        <w:rPr>
          <w:rFonts w:ascii="Times New Roman" w:hAnsi="Times New Roman" w:cs="Times New Roman"/>
        </w:rPr>
      </w:pPr>
      <w:r w:rsidRPr="001D76EE">
        <w:rPr>
          <w:rFonts w:ascii="Times New Roman" w:hAnsi="Times New Roman" w:cs="Times New Roman"/>
        </w:rPr>
        <w:t>Odsjek za infrastrukturu, zaštitu okoliša i obnovu</w:t>
      </w:r>
    </w:p>
    <w:p w14:paraId="7BC42227" w14:textId="397FA8AD" w:rsidR="007E1F50" w:rsidRPr="001D76EE" w:rsidRDefault="00180F97" w:rsidP="005715E9">
      <w:pPr>
        <w:spacing w:after="0" w:line="240" w:lineRule="auto"/>
        <w:rPr>
          <w:rFonts w:ascii="Times New Roman" w:hAnsi="Times New Roman" w:cs="Times New Roman"/>
        </w:rPr>
      </w:pPr>
      <w:r w:rsidRPr="001D76EE">
        <w:rPr>
          <w:rFonts w:ascii="Times New Roman" w:hAnsi="Times New Roman" w:cs="Times New Roman"/>
        </w:rPr>
        <w:t>Slavonski Brod</w:t>
      </w:r>
      <w:r w:rsidR="007E1F50" w:rsidRPr="001D76EE">
        <w:rPr>
          <w:rFonts w:ascii="Times New Roman" w:hAnsi="Times New Roman" w:cs="Times New Roman"/>
        </w:rPr>
        <w:t xml:space="preserve">, </w:t>
      </w:r>
      <w:r w:rsidR="001D76EE">
        <w:rPr>
          <w:rFonts w:ascii="Times New Roman" w:hAnsi="Times New Roman" w:cs="Times New Roman"/>
        </w:rPr>
        <w:t>30</w:t>
      </w:r>
      <w:r w:rsidRPr="001D76EE">
        <w:rPr>
          <w:rFonts w:ascii="Times New Roman" w:hAnsi="Times New Roman" w:cs="Times New Roman"/>
        </w:rPr>
        <w:t>.</w:t>
      </w:r>
      <w:r w:rsidR="00194AB5" w:rsidRPr="001D76EE">
        <w:rPr>
          <w:rFonts w:ascii="Times New Roman" w:hAnsi="Times New Roman" w:cs="Times New Roman"/>
        </w:rPr>
        <w:t xml:space="preserve"> </w:t>
      </w:r>
      <w:r w:rsidR="001D76EE">
        <w:rPr>
          <w:rFonts w:ascii="Times New Roman" w:hAnsi="Times New Roman" w:cs="Times New Roman"/>
        </w:rPr>
        <w:t>siječnja</w:t>
      </w:r>
      <w:r w:rsidR="00194AB5" w:rsidRPr="001D76EE">
        <w:rPr>
          <w:rFonts w:ascii="Times New Roman" w:hAnsi="Times New Roman" w:cs="Times New Roman"/>
        </w:rPr>
        <w:t xml:space="preserve"> </w:t>
      </w:r>
      <w:r w:rsidR="007E1F50" w:rsidRPr="001D76EE">
        <w:rPr>
          <w:rFonts w:ascii="Times New Roman" w:hAnsi="Times New Roman" w:cs="Times New Roman"/>
        </w:rPr>
        <w:t>202</w:t>
      </w:r>
      <w:r w:rsidR="001D76EE">
        <w:rPr>
          <w:rFonts w:ascii="Times New Roman" w:hAnsi="Times New Roman" w:cs="Times New Roman"/>
        </w:rPr>
        <w:t>6</w:t>
      </w:r>
      <w:r w:rsidR="007E1F50" w:rsidRPr="001D76EE">
        <w:rPr>
          <w:rFonts w:ascii="Times New Roman" w:hAnsi="Times New Roman" w:cs="Times New Roman"/>
        </w:rPr>
        <w:t>.</w:t>
      </w:r>
      <w:r w:rsidR="00194AB5" w:rsidRPr="001D76EE">
        <w:rPr>
          <w:rFonts w:ascii="Times New Roman" w:hAnsi="Times New Roman" w:cs="Times New Roman"/>
        </w:rPr>
        <w:t xml:space="preserve"> </w:t>
      </w:r>
    </w:p>
    <w:p w14:paraId="2E5F3C56" w14:textId="12643BEF" w:rsidR="007E1F50" w:rsidRPr="001D76EE" w:rsidRDefault="007E1F50" w:rsidP="005715E9">
      <w:pPr>
        <w:spacing w:after="0" w:line="240" w:lineRule="auto"/>
        <w:rPr>
          <w:rFonts w:ascii="Times New Roman" w:hAnsi="Times New Roman" w:cs="Times New Roman"/>
        </w:rPr>
      </w:pPr>
      <w:r w:rsidRPr="001D76EE">
        <w:rPr>
          <w:rFonts w:ascii="Times New Roman" w:hAnsi="Times New Roman" w:cs="Times New Roman"/>
        </w:rPr>
        <w:t>KLASA: 364-01/2</w:t>
      </w:r>
      <w:r w:rsidR="001D76EE">
        <w:rPr>
          <w:rFonts w:ascii="Times New Roman" w:hAnsi="Times New Roman" w:cs="Times New Roman"/>
        </w:rPr>
        <w:t>6</w:t>
      </w:r>
      <w:r w:rsidRPr="001D76EE">
        <w:rPr>
          <w:rFonts w:ascii="Times New Roman" w:hAnsi="Times New Roman" w:cs="Times New Roman"/>
        </w:rPr>
        <w:t>-01/</w:t>
      </w:r>
      <w:r w:rsidR="001D76EE">
        <w:rPr>
          <w:rFonts w:ascii="Times New Roman" w:hAnsi="Times New Roman" w:cs="Times New Roman"/>
        </w:rPr>
        <w:t>1</w:t>
      </w:r>
    </w:p>
    <w:p w14:paraId="6DB1560B" w14:textId="29D1C8D6" w:rsidR="007E1F50" w:rsidRPr="001D76EE" w:rsidRDefault="007E1F50" w:rsidP="005715E9">
      <w:pPr>
        <w:spacing w:line="240" w:lineRule="auto"/>
        <w:rPr>
          <w:rFonts w:ascii="Times New Roman" w:hAnsi="Times New Roman" w:cs="Times New Roman"/>
        </w:rPr>
      </w:pPr>
      <w:r w:rsidRPr="001D76EE">
        <w:rPr>
          <w:rFonts w:ascii="Times New Roman" w:hAnsi="Times New Roman" w:cs="Times New Roman"/>
        </w:rPr>
        <w:t>URBROJ: 217</w:t>
      </w:r>
      <w:r w:rsidR="00180F97" w:rsidRPr="001D76EE">
        <w:rPr>
          <w:rFonts w:ascii="Times New Roman" w:hAnsi="Times New Roman" w:cs="Times New Roman"/>
        </w:rPr>
        <w:t>8</w:t>
      </w:r>
      <w:r w:rsidRPr="001D76EE">
        <w:rPr>
          <w:rFonts w:ascii="Times New Roman" w:hAnsi="Times New Roman" w:cs="Times New Roman"/>
        </w:rPr>
        <w:t>-</w:t>
      </w:r>
      <w:r w:rsidR="00180F97" w:rsidRPr="001D76EE">
        <w:rPr>
          <w:rFonts w:ascii="Times New Roman" w:hAnsi="Times New Roman" w:cs="Times New Roman"/>
        </w:rPr>
        <w:t>03-</w:t>
      </w:r>
      <w:r w:rsidRPr="001D76EE">
        <w:rPr>
          <w:rFonts w:ascii="Times New Roman" w:hAnsi="Times New Roman" w:cs="Times New Roman"/>
        </w:rPr>
        <w:t>0</w:t>
      </w:r>
      <w:r w:rsidR="00180F97" w:rsidRPr="001D76EE">
        <w:rPr>
          <w:rFonts w:ascii="Times New Roman" w:hAnsi="Times New Roman" w:cs="Times New Roman"/>
        </w:rPr>
        <w:t>2</w:t>
      </w:r>
      <w:r w:rsidRPr="001D76EE">
        <w:rPr>
          <w:rFonts w:ascii="Times New Roman" w:hAnsi="Times New Roman" w:cs="Times New Roman"/>
        </w:rPr>
        <w:t>/</w:t>
      </w:r>
      <w:r w:rsidR="00AB5579" w:rsidRPr="001D76EE">
        <w:rPr>
          <w:rFonts w:ascii="Times New Roman" w:hAnsi="Times New Roman" w:cs="Times New Roman"/>
        </w:rPr>
        <w:t>3</w:t>
      </w:r>
      <w:r w:rsidRPr="001D76EE">
        <w:rPr>
          <w:rFonts w:ascii="Times New Roman" w:hAnsi="Times New Roman" w:cs="Times New Roman"/>
        </w:rPr>
        <w:t>-2</w:t>
      </w:r>
      <w:r w:rsidR="001D76EE">
        <w:rPr>
          <w:rFonts w:ascii="Times New Roman" w:hAnsi="Times New Roman" w:cs="Times New Roman"/>
        </w:rPr>
        <w:t>6</w:t>
      </w:r>
      <w:r w:rsidRPr="001D76EE">
        <w:rPr>
          <w:rFonts w:ascii="Times New Roman" w:hAnsi="Times New Roman" w:cs="Times New Roman"/>
        </w:rPr>
        <w:t>-</w:t>
      </w:r>
      <w:r w:rsidR="00180F97" w:rsidRPr="001D76EE">
        <w:rPr>
          <w:rFonts w:ascii="Times New Roman" w:hAnsi="Times New Roman" w:cs="Times New Roman"/>
        </w:rPr>
        <w:t>1</w:t>
      </w:r>
    </w:p>
    <w:sectPr w:rsidR="007E1F50" w:rsidRPr="001D76EE" w:rsidSect="003F184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43"/>
    <w:rsid w:val="00094CCF"/>
    <w:rsid w:val="00180F97"/>
    <w:rsid w:val="00194AB5"/>
    <w:rsid w:val="001A7B0E"/>
    <w:rsid w:val="001B62F7"/>
    <w:rsid w:val="001C3CB9"/>
    <w:rsid w:val="001D76EE"/>
    <w:rsid w:val="001E3AE2"/>
    <w:rsid w:val="001E7D8E"/>
    <w:rsid w:val="00280C43"/>
    <w:rsid w:val="003F1840"/>
    <w:rsid w:val="004041E1"/>
    <w:rsid w:val="005161ED"/>
    <w:rsid w:val="005715E9"/>
    <w:rsid w:val="007E1F50"/>
    <w:rsid w:val="00830848"/>
    <w:rsid w:val="00852ABB"/>
    <w:rsid w:val="00856E39"/>
    <w:rsid w:val="008845EA"/>
    <w:rsid w:val="008978B0"/>
    <w:rsid w:val="008E470E"/>
    <w:rsid w:val="009B2741"/>
    <w:rsid w:val="00AB0A93"/>
    <w:rsid w:val="00AB5579"/>
    <w:rsid w:val="00B73D63"/>
    <w:rsid w:val="00D4240C"/>
    <w:rsid w:val="00DB4E0D"/>
    <w:rsid w:val="00DC3B72"/>
    <w:rsid w:val="00E71F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E3B6"/>
  <w15:chartTrackingRefBased/>
  <w15:docId w15:val="{669D6967-82C3-4799-9D0A-0CDDED5D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9083">
      <w:bodyDiv w:val="1"/>
      <w:marLeft w:val="0"/>
      <w:marRight w:val="0"/>
      <w:marTop w:val="0"/>
      <w:marBottom w:val="0"/>
      <w:divBdr>
        <w:top w:val="none" w:sz="0" w:space="0" w:color="auto"/>
        <w:left w:val="none" w:sz="0" w:space="0" w:color="auto"/>
        <w:bottom w:val="none" w:sz="0" w:space="0" w:color="auto"/>
        <w:right w:val="none" w:sz="0" w:space="0" w:color="auto"/>
      </w:divBdr>
    </w:div>
    <w:div w:id="8021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794</Words>
  <Characters>4530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 Bošnjaković</dc:creator>
  <cp:keywords/>
  <dc:description/>
  <cp:lastModifiedBy>Katica Bošnjaković</cp:lastModifiedBy>
  <cp:revision>3</cp:revision>
  <dcterms:created xsi:type="dcterms:W3CDTF">2026-01-30T08:52:00Z</dcterms:created>
  <dcterms:modified xsi:type="dcterms:W3CDTF">2026-01-30T09:23:00Z</dcterms:modified>
</cp:coreProperties>
</file>